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</w:t>
      </w:r>
    </w:p>
    <w:p w14:paraId="0E485E07" w14:textId="77777777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Załącznik Nr 4 </w:t>
      </w:r>
    </w:p>
    <w:p w14:paraId="3FF7DD29" w14:textId="5698177C" w:rsidR="00D87F40" w:rsidRPr="004D027A" w:rsidRDefault="00D87F40" w:rsidP="004D027A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do Zasad  </w:t>
      </w:r>
    </w:p>
    <w:p w14:paraId="5DD94559" w14:textId="207EF4F0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         </w:t>
      </w:r>
    </w:p>
    <w:p w14:paraId="692247F3" w14:textId="334BA6A7" w:rsidR="00D87F40" w:rsidRPr="004D027A" w:rsidRDefault="00D87F40" w:rsidP="004D027A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bCs/>
          <w:lang w:eastAsia="pl-PL"/>
        </w:rPr>
        <w:t>                               SYLABUS PRZEDMIOTU/MODUŁU ZAJĘĆ* </w:t>
      </w:r>
      <w:r w:rsidRPr="004D027A">
        <w:rPr>
          <w:rFonts w:ascii="Verdana" w:eastAsia="Times New Roman" w:hAnsi="Verdana" w:cs="Times New Roman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4D027A" w14:paraId="512BFDAD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897B03" w:rsidRDefault="00D87F40" w:rsidP="004D027A">
            <w:pPr>
              <w:numPr>
                <w:ilvl w:val="0"/>
                <w:numId w:val="2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038B" w14:textId="77777777" w:rsidR="00B35DCF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6341D184" w14:textId="07EA978F" w:rsidR="00D87F40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bookmarkStart w:id="0" w:name="OLE_LINK1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Palinologia w geologii naftowej</w:t>
            </w:r>
          </w:p>
          <w:bookmarkEnd w:id="0"/>
          <w:p w14:paraId="1A1FCDEF" w14:textId="35408993" w:rsidR="00B35DCF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Palynology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oil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geology</w:t>
            </w:r>
            <w:proofErr w:type="spellEnd"/>
          </w:p>
        </w:tc>
      </w:tr>
      <w:tr w:rsidR="00D87F40" w:rsidRPr="004D027A" w14:paraId="416C4A68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97B03" w:rsidRDefault="00D87F40" w:rsidP="004D027A">
            <w:pPr>
              <w:numPr>
                <w:ilvl w:val="0"/>
                <w:numId w:val="3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38A25" w14:textId="77777777" w:rsidR="00C22B6B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</w:t>
            </w:r>
          </w:p>
          <w:p w14:paraId="3CE1E71E" w14:textId="5C176E07" w:rsidR="00D87F40" w:rsidRPr="00897B03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D87F40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4D027A" w14:paraId="75094694" w14:textId="77777777" w:rsidTr="00812D59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897B03" w:rsidRDefault="00D87F40" w:rsidP="004D027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7C3D9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A69CD1B" w:rsidR="00B35DCF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4D027A" w14:paraId="535F89DE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897B03" w:rsidRDefault="00D87F40" w:rsidP="004D027A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AD902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78197707" w:rsidR="00B35DCF" w:rsidRPr="00897B03" w:rsidRDefault="000E747D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WNoZiKŚ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B35DCF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Instytut Nauk Geologicznych, Zakład Geologii Stratygraficznej</w:t>
            </w:r>
          </w:p>
        </w:tc>
      </w:tr>
      <w:tr w:rsidR="00D87F40" w:rsidRPr="004D027A" w14:paraId="488178BA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897B03" w:rsidRDefault="00D87F40" w:rsidP="004D027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4D027A" w14:paraId="5A154C20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897B03" w:rsidRDefault="00D87F40" w:rsidP="004D027A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DF303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7766C3D0" w:rsidR="00B35DCF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4D027A" w14:paraId="44A1D2FF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897B03" w:rsidRDefault="00D87F40" w:rsidP="004D027A">
            <w:pPr>
              <w:numPr>
                <w:ilvl w:val="0"/>
                <w:numId w:val="8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2718C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235B574C" w:rsidR="00B35DCF" w:rsidRPr="00897B03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</w:t>
            </w:r>
            <w:r w:rsidR="00B35DCF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eologiczna</w:t>
            </w:r>
          </w:p>
        </w:tc>
      </w:tr>
      <w:tr w:rsidR="00D87F40" w:rsidRPr="004D027A" w14:paraId="1A9CD9C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897B03" w:rsidRDefault="00D87F40" w:rsidP="004D027A">
            <w:pPr>
              <w:numPr>
                <w:ilvl w:val="0"/>
                <w:numId w:val="9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B4AE7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1D347874" w:rsidR="00B35DCF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4D027A" w14:paraId="39C86593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897B03" w:rsidRDefault="00D87F40" w:rsidP="004D027A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</w:tr>
      <w:tr w:rsidR="00D87F40" w:rsidRPr="004D027A" w14:paraId="687E445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897B03" w:rsidRDefault="00D87F40" w:rsidP="004D027A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2901C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39E364F" w:rsidR="00B35DCF" w:rsidRPr="00897B03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4D027A" w14:paraId="1525799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897B03" w:rsidRDefault="00D87F40" w:rsidP="004D027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5F768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6E5E93CD" w:rsidR="005A4993" w:rsidRPr="00897B03" w:rsidRDefault="00B35DCF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C22B6B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 laboratorium</w:t>
            </w:r>
          </w:p>
        </w:tc>
      </w:tr>
      <w:tr w:rsidR="00D87F40" w:rsidRPr="004D027A" w14:paraId="3C19D0C8" w14:textId="77777777" w:rsidTr="00812D59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897B03" w:rsidRDefault="00D87F40" w:rsidP="004D027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33051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9A9D458" w:rsidR="000E747D" w:rsidRPr="00897B03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Wiedza i umiejętności z zakresu programu podstaw paleo</w:t>
            </w:r>
            <w:r w:rsidR="00C22B6B" w:rsidRPr="00897B03">
              <w:rPr>
                <w:rFonts w:ascii="Verdana" w:hAnsi="Verdana"/>
                <w:bCs/>
                <w:sz w:val="20"/>
                <w:szCs w:val="20"/>
              </w:rPr>
              <w:t>botaniki i paleozoologii oraz</w:t>
            </w:r>
            <w:r w:rsidRPr="00897B03">
              <w:rPr>
                <w:rFonts w:ascii="Verdana" w:hAnsi="Verdana"/>
                <w:bCs/>
                <w:sz w:val="20"/>
                <w:szCs w:val="20"/>
              </w:rPr>
              <w:t xml:space="preserve"> geologii złóż</w:t>
            </w:r>
          </w:p>
        </w:tc>
      </w:tr>
      <w:tr w:rsidR="00D87F40" w:rsidRPr="004D027A" w14:paraId="2FA1A762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897B03" w:rsidRDefault="00D87F40" w:rsidP="004D027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B9127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6D24CCF4" w:rsidR="000E747D" w:rsidRPr="00897B03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Celem przedmiotu jest zapoznanie  studentów z możliwościami, jakie dają badania palinologiczne w geologii naftowej. Badania te </w:t>
            </w:r>
            <w:r w:rsidR="003A3AF6" w:rsidRPr="00897B03">
              <w:rPr>
                <w:rFonts w:ascii="Verdana" w:hAnsi="Verdana"/>
                <w:sz w:val="20"/>
                <w:szCs w:val="20"/>
              </w:rPr>
              <w:t xml:space="preserve">mają zastosowanie </w:t>
            </w:r>
            <w:r w:rsidRPr="00897B03">
              <w:rPr>
                <w:rFonts w:ascii="Verdana" w:hAnsi="Verdana"/>
                <w:sz w:val="20"/>
                <w:szCs w:val="20"/>
              </w:rPr>
              <w:t xml:space="preserve">zarówno w rozpoznaniu skał macierzystych, jak i zbiornikowych. </w:t>
            </w:r>
            <w:r w:rsidR="00EA629B" w:rsidRPr="00897B03">
              <w:rPr>
                <w:rFonts w:ascii="Verdana" w:hAnsi="Verdana"/>
                <w:sz w:val="20"/>
                <w:szCs w:val="20"/>
              </w:rPr>
              <w:t>O</w:t>
            </w:r>
            <w:r w:rsidRPr="00897B03">
              <w:rPr>
                <w:rFonts w:ascii="Verdana" w:hAnsi="Verdana"/>
                <w:sz w:val="20"/>
                <w:szCs w:val="20"/>
              </w:rPr>
              <w:t>m</w:t>
            </w:r>
            <w:r w:rsidR="00EA629B" w:rsidRPr="00897B03">
              <w:rPr>
                <w:rFonts w:ascii="Verdana" w:hAnsi="Verdana"/>
                <w:sz w:val="20"/>
                <w:szCs w:val="20"/>
              </w:rPr>
              <w:t xml:space="preserve">ówione będą </w:t>
            </w:r>
            <w:r w:rsidRPr="00897B03">
              <w:rPr>
                <w:rFonts w:ascii="Verdana" w:hAnsi="Verdana"/>
                <w:sz w:val="20"/>
                <w:szCs w:val="20"/>
              </w:rPr>
              <w:t xml:space="preserve">podstawowe rodzaje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i możliwość ich zastosowani</w:t>
            </w:r>
            <w:r w:rsidR="00EA629B" w:rsidRPr="00897B03">
              <w:rPr>
                <w:rFonts w:ascii="Verdana" w:hAnsi="Verdana"/>
                <w:sz w:val="20"/>
                <w:szCs w:val="20"/>
              </w:rPr>
              <w:t>a</w:t>
            </w:r>
            <w:r w:rsidRPr="00897B03">
              <w:rPr>
                <w:rFonts w:ascii="Verdana" w:hAnsi="Verdana"/>
                <w:sz w:val="20"/>
                <w:szCs w:val="20"/>
              </w:rPr>
              <w:t xml:space="preserve"> w celu określenia wieku skał, jak i podstawy teoretyczne badań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pozwalających określić rodzaj materii organicznej rozproszonej w skałach osadowych. Omówione zostaną również zagadnienia związane z możliwością określenia stopnia dojrzałości termicznej materii organicznej na podstawie barwy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palinmomorf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i korelacja uzyskanej skali z innymi skalami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geotermometrii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>.</w:t>
            </w:r>
            <w:r w:rsidR="00B604EA" w:rsidRPr="00897B03">
              <w:rPr>
                <w:rFonts w:ascii="Verdana" w:hAnsi="Verdana"/>
                <w:sz w:val="20"/>
                <w:szCs w:val="20"/>
              </w:rPr>
              <w:t xml:space="preserve"> Treści te zostaną uzupełnione obserwacjami mikroskopowymi preparatów palinologicznych prowadzonymi przez studentów.</w:t>
            </w:r>
          </w:p>
        </w:tc>
      </w:tr>
      <w:tr w:rsidR="00D87F40" w:rsidRPr="004D027A" w14:paraId="42A695CD" w14:textId="77777777" w:rsidTr="00812D59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897B03" w:rsidRDefault="00D87F40" w:rsidP="004D027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53D8C40E" w14:textId="2D9F2544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B604EA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 (T)</w:t>
            </w:r>
          </w:p>
          <w:p w14:paraId="0EA60917" w14:textId="77777777" w:rsidR="003A3AF6" w:rsidRPr="00897B03" w:rsidRDefault="003A3AF6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26D039" w14:textId="77777777" w:rsidR="003A3AF6" w:rsidRPr="00897B03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Geologia naftowa - podstawowe terminy. </w:t>
            </w:r>
          </w:p>
          <w:p w14:paraId="21C69C56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Definicja palinologii i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E0A4E05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lastRenderedPageBreak/>
              <w:t xml:space="preserve">Metody przygotowania laboratoryjnego próbek skalnych do badań palinologicznych. </w:t>
            </w:r>
          </w:p>
          <w:p w14:paraId="05C7C53C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Charakterystyka ważniejszych grup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897B03">
              <w:rPr>
                <w:rFonts w:ascii="Verdana" w:hAnsi="Verdana"/>
                <w:i/>
                <w:sz w:val="20"/>
                <w:szCs w:val="20"/>
              </w:rPr>
              <w:t>Acritarcha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97B03">
              <w:rPr>
                <w:rFonts w:ascii="Verdana" w:hAnsi="Verdana"/>
                <w:i/>
                <w:sz w:val="20"/>
                <w:szCs w:val="20"/>
              </w:rPr>
              <w:t>Chitinozoa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skolekodonty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spory i ziarna pyłku, </w:t>
            </w:r>
            <w:proofErr w:type="spellStart"/>
            <w:r w:rsidRPr="00897B03">
              <w:rPr>
                <w:rFonts w:ascii="Verdana" w:hAnsi="Verdana"/>
                <w:i/>
                <w:sz w:val="20"/>
                <w:szCs w:val="20"/>
              </w:rPr>
              <w:t>Dinoflagellata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), ich paleoekologia, zasięgi i znaczenie stratygraficzne. </w:t>
            </w:r>
          </w:p>
          <w:p w14:paraId="13956FB3" w14:textId="77777777" w:rsidR="003A3AF6" w:rsidRPr="00897B03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Przydatność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do celów biostratygraficznych. </w:t>
            </w:r>
            <w:r w:rsidR="00C22B6B" w:rsidRPr="00897B03">
              <w:rPr>
                <w:rFonts w:ascii="Verdana" w:hAnsi="Verdana"/>
                <w:sz w:val="20"/>
                <w:szCs w:val="20"/>
              </w:rPr>
              <w:t xml:space="preserve">Podziały </w:t>
            </w:r>
            <w:proofErr w:type="spellStart"/>
            <w:r w:rsidR="00C22B6B" w:rsidRPr="00897B03">
              <w:rPr>
                <w:rFonts w:ascii="Verdana" w:hAnsi="Verdana"/>
                <w:sz w:val="20"/>
                <w:szCs w:val="20"/>
              </w:rPr>
              <w:t>palinostratygraficzne</w:t>
            </w:r>
            <w:proofErr w:type="spellEnd"/>
            <w:r w:rsidR="00C22B6B" w:rsidRPr="00897B0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5E4771C3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Składniki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i ich klasyfikacja. </w:t>
            </w:r>
          </w:p>
          <w:p w14:paraId="4D4C749D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Możliwość interpretacji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paleoekologicznej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danych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C395816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Określenie typu materii organicznej (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) metodą palinologiczną. </w:t>
            </w:r>
          </w:p>
          <w:p w14:paraId="65E6525A" w14:textId="77777777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Zastosowanie badań palinologicznych w celu określenia stopnia dojrzałości termicznej materii organicznej rozproszonej w skałach osadowych. </w:t>
            </w:r>
          </w:p>
          <w:p w14:paraId="4DAD713A" w14:textId="0EF4F1A0" w:rsidR="003A3AF6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Korelacja skali barw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z innymi skalami dojrzałości termicznej. </w:t>
            </w:r>
          </w:p>
          <w:p w14:paraId="4DBFAC51" w14:textId="77777777" w:rsidR="00C22B6B" w:rsidRPr="00897B03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Zastosowanie wyników badań palinologicznych w poszukiwaniu złóż ropy naftowej i gazu ziemnego.</w:t>
            </w:r>
          </w:p>
          <w:p w14:paraId="63A7DEE9" w14:textId="77777777" w:rsidR="00B604EA" w:rsidRPr="00897B03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Praktyczna identyfikacja składu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w tym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. Zróżnicowanie typów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w preparatach palinologicznych. </w:t>
            </w:r>
          </w:p>
          <w:p w14:paraId="63DFF639" w14:textId="77777777" w:rsidR="009F2B51" w:rsidRPr="00897B03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Ocena barwy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pod kątem oceny stopnia dojrzałości materii organicznej.</w:t>
            </w:r>
          </w:p>
          <w:p w14:paraId="3DE62F05" w14:textId="076EE77A" w:rsidR="00B604EA" w:rsidRPr="00897B03" w:rsidRDefault="00B604EA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Praktyczne ćwiczenia z zastosowaniem mikroskopów, mające na celu  rozpoznawanie podstawowych grup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, składu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pod kątem określenia typu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oraz dojrzałości termicznej materii organicznej na podstawie barwy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12D59" w:rsidRPr="004D027A" w14:paraId="58192E0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B1DF09" w14:textId="77777777" w:rsidR="00812D59" w:rsidRPr="00897B03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15.</w:t>
            </w:r>
          </w:p>
          <w:p w14:paraId="0FFEBA40" w14:textId="04EC20C5" w:rsidR="00812D59" w:rsidRPr="00897B03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B2FA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FE7043F" w14:textId="4FC64252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EB2CEB" w14:textId="7026E0C6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8A0EFB" w14:textId="316D812F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01C549" w14:textId="4BFA59DC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62CAE" w14:textId="2AFCEE4C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4EA057" w14:textId="176A156E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C4DF0C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9AE683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W_1 Zna czynniki sprzyjające zachowaniu się materii organicznej w skałach osadowych.</w:t>
            </w:r>
          </w:p>
          <w:p w14:paraId="3D8A12B8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FD0298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W_2 Zna podstawową terminologię w zakresie palinologii. </w:t>
            </w:r>
          </w:p>
          <w:p w14:paraId="295974AF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E33F7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 xml:space="preserve">W_3 Wykazuje znajomość podstawowych rodzajów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i ich znaczenia stratygraficznego oraz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paleoekologicznego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 dla skał różnego wieku.</w:t>
            </w:r>
          </w:p>
          <w:p w14:paraId="527C7521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A64A22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W_4 Zna podstawowe rodzaje cząstek palinologicznych i ich genezę.</w:t>
            </w:r>
          </w:p>
          <w:p w14:paraId="64718D7D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647F44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U_1 Potrafi dokonać wyboru typu skały do badań palinologicznych i dostosować do niego sposób przygotowania laboratoryjnego próbek.</w:t>
            </w:r>
          </w:p>
          <w:p w14:paraId="48731471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E40A7F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U_2 Wykazuje znajomość zmian optycznych materii organicznej, wynikających z jej dojrzałości termicznej i umie skorelować je z możliwością generacji węglowodorów.</w:t>
            </w:r>
          </w:p>
          <w:p w14:paraId="24735CA4" w14:textId="734DE553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B5C363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lastRenderedPageBreak/>
              <w:t>U_3 Potrafi ocenić możliwość generacji węglowodorów na podstawie informacji o typie materii organicznej występującej w skale.</w:t>
            </w:r>
          </w:p>
          <w:p w14:paraId="3A3BEB0A" w14:textId="7015AC91" w:rsidR="00812D59" w:rsidRPr="00897B03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K_1 Rozumie potrzebę ciągłego podnoszenia kwalifikacji zawodowych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A1D68" w14:textId="77777777" w:rsidR="00812D59" w:rsidRPr="00897B03" w:rsidRDefault="00812D59" w:rsidP="004D02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</w:p>
          <w:p w14:paraId="6F96D374" w14:textId="10C9871F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 xml:space="preserve">K2_W01, K2_W03, </w:t>
            </w:r>
            <w:r w:rsidR="00375518" w:rsidRPr="00897B03">
              <w:rPr>
                <w:rFonts w:ascii="Verdana" w:hAnsi="Verdana"/>
                <w:bCs/>
                <w:sz w:val="20"/>
                <w:szCs w:val="20"/>
              </w:rPr>
              <w:t>21_W04</w:t>
            </w:r>
          </w:p>
          <w:p w14:paraId="083AFD95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1EFB18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93A9DF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E8CE44" w14:textId="0575154D" w:rsidR="00812D59" w:rsidRPr="00897B03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263DE317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3DC1C6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2DD35" w14:textId="74B9D641" w:rsidR="00812D59" w:rsidRPr="00897B03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7E6D27DF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9F8C53" w14:textId="3421B78B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C55F5D" w14:textId="74340AC6" w:rsidR="00812D59" w:rsidRPr="00897B03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50E831CD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CB5618" w14:textId="5B20D2C9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435A2A" w14:textId="53E6BB5F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090B9B" w14:textId="00BF1A95" w:rsidR="00812D59" w:rsidRPr="00897B03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3E0F16D2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AF1B9A" w14:textId="39C2D8F5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38BFC4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B2C1A4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71BB9235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E4EF2B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756689" w14:textId="6F790ACE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8771AE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EB9586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14D403FC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A986E8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11EE75" w14:textId="4EE56261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FC05D8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F5BF9E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02C4E452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77E20C" w14:textId="77777777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27D268" w14:textId="1DA8239A" w:rsidR="00812D59" w:rsidRPr="00897B03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4A48B" w14:textId="22BFCDC7" w:rsidR="00812D59" w:rsidRPr="00897B03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D87F40" w:rsidRPr="004D027A" w14:paraId="10C4089E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897B03" w:rsidRDefault="00D87F40" w:rsidP="004D027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0922E" w14:textId="77777777" w:rsidR="00D36340" w:rsidRPr="00897B03" w:rsidRDefault="00D87F40" w:rsidP="004D027A">
            <w:pPr>
              <w:spacing w:after="0" w:line="240" w:lineRule="auto"/>
              <w:ind w:left="720"/>
              <w:rPr>
                <w:rFonts w:ascii="Verdana" w:hAnsi="Verdana"/>
                <w:sz w:val="20"/>
                <w:szCs w:val="20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="00D36340" w:rsidRPr="00897B03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BF1F1F" w14:textId="77777777" w:rsidR="0099365D" w:rsidRPr="00897B03" w:rsidRDefault="0099365D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Batten, D. J. (1996). Palynofacies and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palaeoenvironmental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interpretation. In J.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Jansonius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&amp; D. C. McGregor (Eds.), 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val="en-US" w:eastAsia="pl-PL"/>
              </w:rPr>
              <w:t>Palynology: Principles and Applications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 (Vol. 3, pp. 1011–1064). 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Dallas (TX): AASP Foundation.</w:t>
            </w:r>
          </w:p>
          <w:p w14:paraId="0B19AFBF" w14:textId="77777777" w:rsidR="0099365D" w:rsidRPr="00897B03" w:rsidRDefault="0099365D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Batten D. J. (2007) Palynofacies, paleoenvironments and petroleum.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Journal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Micropaleontology</w:t>
            </w:r>
            <w:proofErr w:type="spellEnd"/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1: 107-114.</w:t>
            </w:r>
          </w:p>
          <w:p w14:paraId="2B554873" w14:textId="5019441A" w:rsidR="00D36340" w:rsidRPr="00897B03" w:rsidRDefault="00D36340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97B03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</w:rPr>
              <w:t xml:space="preserve">-Jachowicz S., Sadowska A., </w:t>
            </w:r>
            <w:r w:rsidR="0099365D" w:rsidRPr="00897B03">
              <w:rPr>
                <w:rFonts w:ascii="Verdana" w:hAnsi="Verdana"/>
                <w:sz w:val="20"/>
                <w:szCs w:val="20"/>
              </w:rPr>
              <w:t>(</w:t>
            </w:r>
            <w:r w:rsidRPr="00897B03">
              <w:rPr>
                <w:rFonts w:ascii="Verdana" w:hAnsi="Verdana"/>
                <w:sz w:val="20"/>
                <w:szCs w:val="20"/>
              </w:rPr>
              <w:t>2003</w:t>
            </w:r>
            <w:r w:rsidR="0099365D" w:rsidRPr="00897B03">
              <w:rPr>
                <w:rFonts w:ascii="Verdana" w:hAnsi="Verdana"/>
                <w:sz w:val="20"/>
                <w:szCs w:val="20"/>
              </w:rPr>
              <w:t>)</w:t>
            </w:r>
            <w:r w:rsidRPr="00897B03">
              <w:rPr>
                <w:rFonts w:ascii="Verdana" w:hAnsi="Verdana"/>
                <w:sz w:val="20"/>
                <w:szCs w:val="20"/>
              </w:rPr>
              <w:t xml:space="preserve"> Palinologia. Wydawnictwa Instytutu Botaniki PAN. Kraków </w:t>
            </w:r>
          </w:p>
          <w:p w14:paraId="2F85AF4B" w14:textId="0A602255" w:rsidR="00D36340" w:rsidRPr="00897B03" w:rsidRDefault="00D36340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</w:t>
            </w:r>
            <w:r w:rsidR="0099365D" w:rsidRPr="00897B03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>1996</w:t>
            </w:r>
            <w:r w:rsidR="0099365D" w:rsidRPr="00897B03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 xml:space="preserve"> Palynology: principles and applications, vol. 1-3. AASP Foundation.</w:t>
            </w:r>
          </w:p>
          <w:p w14:paraId="448F2002" w14:textId="19F85978" w:rsidR="006714CC" w:rsidRPr="00897B03" w:rsidRDefault="006714CC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Mendonça Filho J. G., Menezes T. R., Mendonça J. O., Oliveira A. D., Silva T. F., Noelia Franco Rondon </w:t>
            </w:r>
            <w:r w:rsidR="0099365D"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N. F., 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Silva F. S., (2012)</w:t>
            </w:r>
            <w:r w:rsidR="0099365D"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r w:rsidRPr="00897B03">
              <w:rPr>
                <w:rFonts w:ascii="Verdana" w:eastAsia="Times New Roman" w:hAnsi="Verdana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Organic Facies: Palynofacies and Organic Geochemistry Approaches. </w:t>
            </w:r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 xml:space="preserve">Geochemistry - Earth's System Processes. Ed. </w:t>
            </w:r>
            <w:proofErr w:type="spellStart"/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>Panagiotaras</w:t>
            </w:r>
            <w:proofErr w:type="spellEnd"/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 xml:space="preserve"> D., Intech Open Book Series</w:t>
            </w:r>
          </w:p>
          <w:p w14:paraId="4C8DB6FF" w14:textId="55871BB1" w:rsidR="0099365D" w:rsidRPr="00897B03" w:rsidRDefault="0099365D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97B03">
              <w:rPr>
                <w:rFonts w:ascii="Verdana" w:hAnsi="Verdana"/>
                <w:sz w:val="20"/>
                <w:szCs w:val="20"/>
                <w:lang w:val="en-US"/>
              </w:rPr>
              <w:t>Traverse A., (1988) Paleopalynology. Unwin Hyman, Boston.</w:t>
            </w:r>
          </w:p>
          <w:p w14:paraId="58E6291C" w14:textId="4BB736C3" w:rsidR="0099365D" w:rsidRPr="00897B03" w:rsidRDefault="004D027A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Tyson, R.V. </w:t>
            </w:r>
            <w:r w:rsidR="0099365D"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(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1995</w:t>
            </w:r>
            <w:r w:rsidR="0099365D"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)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Organic Matter: organic facies and palynofacies. 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Chapman and Hall: 615pp.</w:t>
            </w:r>
          </w:p>
        </w:tc>
      </w:tr>
      <w:tr w:rsidR="00D87F40" w:rsidRPr="004D027A" w14:paraId="35BD8314" w14:textId="77777777" w:rsidTr="00812D59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897B03" w:rsidRDefault="00D87F40" w:rsidP="004D027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1CBA64E6" w14:textId="04A30C85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końcowa praca kontrolna (T) </w:t>
            </w:r>
          </w:p>
        </w:tc>
      </w:tr>
      <w:tr w:rsidR="00D87F40" w:rsidRPr="004D027A" w14:paraId="1D48C603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897B03" w:rsidRDefault="00D87F40" w:rsidP="004D027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40C29A3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(T),  </w:t>
            </w:r>
          </w:p>
          <w:p w14:paraId="33D213A7" w14:textId="56F06AA5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</w:t>
            </w:r>
            <w:r w:rsidR="00B604EA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rolna (końcowa) (T), </w:t>
            </w:r>
            <w:r w:rsidR="00B604EA"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</w:p>
        </w:tc>
      </w:tr>
      <w:tr w:rsidR="00D87F40" w:rsidRPr="004D027A" w14:paraId="0AA66D16" w14:textId="77777777" w:rsidTr="00812D59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897B03" w:rsidRDefault="00D87F40" w:rsidP="004D02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4D027A" w14:paraId="6C40269B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897B03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4D027A" w14:paraId="7263BA5E" w14:textId="77777777" w:rsidTr="00812D5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897B03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24EC3D88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laboratorium*: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F4BD7" w14:textId="1B65785D" w:rsidR="00D87F40" w:rsidRPr="00897B03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26BEC2C3" w:rsidR="004D027A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4D027A" w14:paraId="2EADFBD3" w14:textId="77777777" w:rsidTr="00812D5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897B03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prac/wystąpień/projektów: </w:t>
            </w:r>
          </w:p>
          <w:p w14:paraId="05C1D961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napisanie raportu z zajęć: </w:t>
            </w:r>
          </w:p>
          <w:p w14:paraId="78BCFF21" w14:textId="77777777" w:rsidR="00D87F40" w:rsidRPr="00897B03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sprawdzianów i egzaminu: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52357" w14:textId="1EC748FA" w:rsidR="00D87F40" w:rsidRPr="00897B03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24D705" w14:textId="77777777" w:rsidR="004D027A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415311" w14:textId="77777777" w:rsidR="004D027A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6C60D51" w14:textId="77777777" w:rsidR="004D027A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56A1C316" w:rsidR="004D027A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D87F40" w:rsidRPr="004D027A" w14:paraId="6DE8FB8C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897B03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E475358" w:rsidR="00D87F40" w:rsidRPr="00897B03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4D027A" w14:paraId="4330A9C0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897B03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897B03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897B03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71553D78" w:rsidR="00D87F40" w:rsidRPr="00897B03" w:rsidRDefault="009F2B51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97B0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897B03" w:rsidRDefault="00D87F40" w:rsidP="004D027A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7B03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(T) – realizowane w sposób tradycyjny </w:t>
      </w:r>
    </w:p>
    <w:p w14:paraId="519AFF2D" w14:textId="4DB68E73" w:rsidR="00D87F40" w:rsidRPr="00897B03" w:rsidRDefault="00D87F40" w:rsidP="004D027A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7B03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897B03" w:rsidRDefault="00D87F40" w:rsidP="004D027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7B03">
        <w:rPr>
          <w:rFonts w:ascii="Verdana" w:eastAsia="Times New Roman" w:hAnsi="Verdana" w:cs="Times New Roman"/>
          <w:sz w:val="20"/>
          <w:szCs w:val="20"/>
          <w:lang w:eastAsia="pl-PL"/>
        </w:rPr>
        <w:t>*niepotrzebne usunąć </w:t>
      </w:r>
    </w:p>
    <w:p w14:paraId="6307F62C" w14:textId="77777777" w:rsidR="00D87F40" w:rsidRPr="00897B03" w:rsidRDefault="00D87F40" w:rsidP="004D027A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97B03">
        <w:rPr>
          <w:rFonts w:ascii="Verdana" w:eastAsia="Times New Roman" w:hAnsi="Verdana" w:cs="Times New Roman"/>
          <w:sz w:val="20"/>
          <w:szCs w:val="20"/>
          <w:lang w:eastAsia="pl-PL"/>
        </w:rPr>
        <w:t>Tabelę należy wypełnić czcionką Verdana, wielkość min 9 max 10, interlinia 1; </w:t>
      </w:r>
    </w:p>
    <w:p w14:paraId="6E845BC7" w14:textId="24B0FF98" w:rsidR="40760ACE" w:rsidRPr="004D027A" w:rsidRDefault="40760ACE" w:rsidP="004D027A">
      <w:pPr>
        <w:spacing w:line="240" w:lineRule="auto"/>
        <w:rPr>
          <w:rFonts w:ascii="Verdana" w:hAnsi="Verdana"/>
        </w:rPr>
      </w:pPr>
    </w:p>
    <w:sectPr w:rsidR="40760ACE" w:rsidRPr="004D0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25F0B"/>
    <w:multiLevelType w:val="hybridMultilevel"/>
    <w:tmpl w:val="FC06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2E399F"/>
    <w:multiLevelType w:val="hybridMultilevel"/>
    <w:tmpl w:val="28CEB506"/>
    <w:lvl w:ilvl="0" w:tplc="25F0E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4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A8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29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8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68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E7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4076601">
    <w:abstractNumId w:val="9"/>
  </w:num>
  <w:num w:numId="2" w16cid:durableId="1546747817">
    <w:abstractNumId w:val="11"/>
  </w:num>
  <w:num w:numId="3" w16cid:durableId="1584148652">
    <w:abstractNumId w:val="5"/>
  </w:num>
  <w:num w:numId="4" w16cid:durableId="1370062681">
    <w:abstractNumId w:val="3"/>
  </w:num>
  <w:num w:numId="5" w16cid:durableId="1477068232">
    <w:abstractNumId w:val="12"/>
  </w:num>
  <w:num w:numId="6" w16cid:durableId="1453137085">
    <w:abstractNumId w:val="15"/>
  </w:num>
  <w:num w:numId="7" w16cid:durableId="944775478">
    <w:abstractNumId w:val="13"/>
  </w:num>
  <w:num w:numId="8" w16cid:durableId="933903352">
    <w:abstractNumId w:val="6"/>
  </w:num>
  <w:num w:numId="9" w16cid:durableId="170461672">
    <w:abstractNumId w:val="2"/>
  </w:num>
  <w:num w:numId="10" w16cid:durableId="429204501">
    <w:abstractNumId w:val="20"/>
  </w:num>
  <w:num w:numId="11" w16cid:durableId="732432060">
    <w:abstractNumId w:val="0"/>
  </w:num>
  <w:num w:numId="12" w16cid:durableId="107285481">
    <w:abstractNumId w:val="7"/>
  </w:num>
  <w:num w:numId="13" w16cid:durableId="175387783">
    <w:abstractNumId w:val="19"/>
  </w:num>
  <w:num w:numId="14" w16cid:durableId="41179395">
    <w:abstractNumId w:val="10"/>
  </w:num>
  <w:num w:numId="15" w16cid:durableId="905920670">
    <w:abstractNumId w:val="4"/>
  </w:num>
  <w:num w:numId="16" w16cid:durableId="1727795575">
    <w:abstractNumId w:val="21"/>
  </w:num>
  <w:num w:numId="17" w16cid:durableId="348872074">
    <w:abstractNumId w:val="14"/>
  </w:num>
  <w:num w:numId="18" w16cid:durableId="66921942">
    <w:abstractNumId w:val="17"/>
  </w:num>
  <w:num w:numId="19" w16cid:durableId="29191496">
    <w:abstractNumId w:val="18"/>
  </w:num>
  <w:num w:numId="20" w16cid:durableId="2125072180">
    <w:abstractNumId w:val="8"/>
  </w:num>
  <w:num w:numId="21" w16cid:durableId="1819154124">
    <w:abstractNumId w:val="16"/>
  </w:num>
  <w:num w:numId="22" w16cid:durableId="866790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121E8"/>
    <w:rsid w:val="000E747D"/>
    <w:rsid w:val="001519AB"/>
    <w:rsid w:val="00375518"/>
    <w:rsid w:val="003A3AF6"/>
    <w:rsid w:val="003E4CC9"/>
    <w:rsid w:val="004379E7"/>
    <w:rsid w:val="004D027A"/>
    <w:rsid w:val="004F089A"/>
    <w:rsid w:val="00516CBE"/>
    <w:rsid w:val="00540ABD"/>
    <w:rsid w:val="005802DC"/>
    <w:rsid w:val="005A30CC"/>
    <w:rsid w:val="005A4993"/>
    <w:rsid w:val="005B27E0"/>
    <w:rsid w:val="006714CC"/>
    <w:rsid w:val="006D1EF4"/>
    <w:rsid w:val="00812D59"/>
    <w:rsid w:val="00897B03"/>
    <w:rsid w:val="0099365D"/>
    <w:rsid w:val="009F2B51"/>
    <w:rsid w:val="00A50845"/>
    <w:rsid w:val="00B35DCF"/>
    <w:rsid w:val="00B45C46"/>
    <w:rsid w:val="00B604EA"/>
    <w:rsid w:val="00C22B6B"/>
    <w:rsid w:val="00D36340"/>
    <w:rsid w:val="00D87F40"/>
    <w:rsid w:val="00EA629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71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714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uthorstitle">
    <w:name w:val="authors__title"/>
    <w:basedOn w:val="Normalny"/>
    <w:rsid w:val="0067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7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3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3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0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10</cp:revision>
  <cp:lastPrinted>2020-05-22T11:51:00Z</cp:lastPrinted>
  <dcterms:created xsi:type="dcterms:W3CDTF">2022-03-18T22:58:00Z</dcterms:created>
  <dcterms:modified xsi:type="dcterms:W3CDTF">2024-11-29T18:43:00Z</dcterms:modified>
</cp:coreProperties>
</file>