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9430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C7D191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63968D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378E5B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0125C6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42121" w14:paraId="7F8485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AB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42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E9C5C0E" w14:textId="77777777" w:rsidR="008E7503" w:rsidRPr="00B5136C" w:rsidRDefault="00B527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5136C">
              <w:rPr>
                <w:rFonts w:ascii="Verdana" w:hAnsi="Verdana"/>
                <w:sz w:val="20"/>
                <w:szCs w:val="20"/>
                <w:lang w:val="en-US"/>
              </w:rPr>
              <w:t>Metodologia prawa</w:t>
            </w:r>
            <w:r w:rsidR="00D122F9" w:rsidRPr="00B5136C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="00B5136C" w:rsidRPr="00B5136C">
              <w:rPr>
                <w:rFonts w:ascii="Verdana" w:hAnsi="Verdana"/>
                <w:sz w:val="20"/>
                <w:szCs w:val="20"/>
                <w:lang w:val="en-US"/>
              </w:rPr>
              <w:t>Methodology of law</w:t>
            </w:r>
          </w:p>
        </w:tc>
      </w:tr>
      <w:tr w:rsidR="008E7503" w:rsidRPr="00864E2D" w14:paraId="5AD084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98E9" w14:textId="77777777" w:rsidR="008E7503" w:rsidRPr="00B513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E78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06416E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27845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51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C49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A595F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5C732E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C4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AA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DB4A26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79A779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31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68D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F4FF64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817A6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B0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FA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1F67C9F" w14:textId="77777777" w:rsidR="008E7503" w:rsidRPr="00864E2D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40A1B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FB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E8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3DA981A" w14:textId="77777777" w:rsidR="008E7503" w:rsidRPr="00864E2D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0D3ABD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7E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80E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1E1C47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BC1D0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5B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8C5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268062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4292A1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80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C83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D68A519" w14:textId="77777777" w:rsidR="008E7503" w:rsidRPr="00864E2D" w:rsidRDefault="00B5136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AF23C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EC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B72B" w14:textId="77777777"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E03BC45" w14:textId="77777777" w:rsidR="00912E3A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>: 20</w:t>
            </w:r>
          </w:p>
          <w:p w14:paraId="505A8020" w14:textId="77777777" w:rsidR="00B5136C" w:rsidRPr="00C8307B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10 </w:t>
            </w:r>
          </w:p>
        </w:tc>
      </w:tr>
      <w:tr w:rsidR="008E7503" w:rsidRPr="00864E2D" w14:paraId="071CCA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B0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64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9734B4D" w14:textId="744ADFDF" w:rsidR="00912E3A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032E">
              <w:rPr>
                <w:rFonts w:ascii="Verdana" w:hAnsi="Verdana"/>
                <w:sz w:val="20"/>
                <w:szCs w:val="20"/>
              </w:rPr>
              <w:t>mgr Małgorzata Nowak</w:t>
            </w:r>
          </w:p>
        </w:tc>
      </w:tr>
      <w:tr w:rsidR="008E7503" w:rsidRPr="00864E2D" w14:paraId="54B44E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D3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84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12BB465" w14:textId="77777777" w:rsidR="008E7503" w:rsidRPr="00B527E5" w:rsidRDefault="00B527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>Podstawowe informacje z zakresu wiedzy o społeczeństwie i Konstytucji RP z 1997 r., wymagane w szkołach średnich.</w:t>
            </w:r>
          </w:p>
        </w:tc>
      </w:tr>
      <w:tr w:rsidR="00B527E5" w:rsidRPr="00864E2D" w14:paraId="320315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523F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1001" w14:textId="77777777" w:rsidR="00B527E5" w:rsidRPr="00B527E5" w:rsidRDefault="00B527E5" w:rsidP="00B527E5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3E5DDD64" w14:textId="77777777" w:rsidR="00B527E5" w:rsidRPr="00B527E5" w:rsidRDefault="00B527E5" w:rsidP="00B527E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 xml:space="preserve">Zapoznanie studentów z polskim systemem prawnym, regułami interpretacyjnymi przepisy prawne, podstawowymi instytucjami prawnymi a także informacjami na temat prawnej organizacji ochrony środowiska zwłaszcza w aspekcie administracyjnoprawnym. Wytworzenie kompetencji w zakresie stosowania prawa oraz sporządzania prostych opracowań prawnych w zakresie interpretacji przepisów związanych z ochroną </w:t>
            </w:r>
            <w:r w:rsidRPr="00B527E5">
              <w:rPr>
                <w:rFonts w:ascii="Verdana" w:hAnsi="Verdana"/>
                <w:sz w:val="20"/>
                <w:szCs w:val="20"/>
              </w:rPr>
              <w:lastRenderedPageBreak/>
              <w:t>środowiska.</w:t>
            </w:r>
          </w:p>
        </w:tc>
      </w:tr>
      <w:tr w:rsidR="00B527E5" w:rsidRPr="00864E2D" w14:paraId="4A12E3B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3676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104E" w14:textId="77777777"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8C44618" w14:textId="77777777" w:rsidR="00B5136C" w:rsidRPr="00B527E5" w:rsidRDefault="00B5136C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</w:p>
          <w:p w14:paraId="7CC1E4AD" w14:textId="77777777"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Wstęp do prawoznawstwa (istota prawa, podstawowe pojęcia prawnicze, język prawny i prawniczy, logika i wnioskowania prawnicze)</w:t>
            </w:r>
          </w:p>
          <w:p w14:paraId="356EB882" w14:textId="77777777"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Źródła prawa i budowa systemu prawa</w:t>
            </w:r>
          </w:p>
          <w:p w14:paraId="73A93036" w14:textId="77777777"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Konstytucja Rzeczpospolitej Polskiej z 1997 r. i jej uregulowania w zakresie ochrony środowiska.</w:t>
            </w:r>
          </w:p>
          <w:p w14:paraId="3CAB716B" w14:textId="77777777"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Podstawowe pojęcia i zasady poszczególnych gałęzi prawa (prawo cywilne, prawo karne, prawo finansowe)</w:t>
            </w:r>
          </w:p>
          <w:p w14:paraId="182ADBA2" w14:textId="77777777"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Prawo administracyjne materialne (charakterystyka, źródła prawa)</w:t>
            </w:r>
          </w:p>
          <w:p w14:paraId="3F388D73" w14:textId="77777777"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Administracja publiczna w Polsce, funkcje administracji, organy administracji.</w:t>
            </w:r>
          </w:p>
          <w:p w14:paraId="77974612" w14:textId="77777777"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Prawo administracyjne procesowe (organ administracyjny, decyzja, tryb zwyczajny i nadzwyczajne tryby odwoławcze, doręczenia i terminy, sądownictwo administracyjne).</w:t>
            </w:r>
          </w:p>
          <w:p w14:paraId="016823D1" w14:textId="77777777" w:rsidR="00B527E5" w:rsidRPr="00B5136C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136C">
              <w:rPr>
                <w:bCs/>
                <w:szCs w:val="20"/>
              </w:rPr>
              <w:t>Podstawy prawa Unii Europejskiej, organy Unii Europejskiej.</w:t>
            </w:r>
          </w:p>
          <w:p w14:paraId="1332C565" w14:textId="77777777" w:rsidR="00B5136C" w:rsidRPr="00B5136C" w:rsidRDefault="00B5136C" w:rsidP="00B5136C">
            <w:pPr>
              <w:tabs>
                <w:tab w:val="left" w:pos="378"/>
              </w:tabs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DCB7D93" w14:textId="77777777" w:rsidR="00B5136C" w:rsidRPr="00B5136C" w:rsidRDefault="00B5136C" w:rsidP="00B5136C">
            <w:pPr>
              <w:tabs>
                <w:tab w:val="left" w:pos="378"/>
              </w:tabs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B5136C">
              <w:rPr>
                <w:rFonts w:ascii="Verdana" w:hAnsi="Verdana"/>
                <w:bCs/>
                <w:sz w:val="20"/>
                <w:szCs w:val="20"/>
              </w:rPr>
              <w:t>Ćwiczenia</w:t>
            </w:r>
          </w:p>
          <w:p w14:paraId="229D3321" w14:textId="77777777"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Logika i wnioskowania prawnicze – zadania I</w:t>
            </w:r>
          </w:p>
          <w:p w14:paraId="03BF3619" w14:textId="77777777"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Logika i wnioskowania prawnicze – zadania II</w:t>
            </w:r>
          </w:p>
          <w:p w14:paraId="598B0248" w14:textId="77777777"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Czytanie i sposób powoływania aktów prawnych</w:t>
            </w:r>
          </w:p>
          <w:p w14:paraId="44E37842" w14:textId="77777777"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Zasady zawierania umów i ich sporządzanie</w:t>
            </w:r>
          </w:p>
          <w:p w14:paraId="658953F1" w14:textId="77777777"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Orzecznictwo sądowe</w:t>
            </w:r>
          </w:p>
          <w:p w14:paraId="606627D4" w14:textId="77777777" w:rsidR="00B527E5" w:rsidRPr="00B527E5" w:rsidRDefault="00B527E5" w:rsidP="00B527E5">
            <w:pPr>
              <w:pStyle w:val="Akapitzlist"/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</w:rPr>
            </w:pPr>
          </w:p>
        </w:tc>
      </w:tr>
      <w:tr w:rsidR="00B5136C" w:rsidRPr="00864E2D" w14:paraId="460735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5B9D" w14:textId="77777777" w:rsidR="00B5136C" w:rsidRPr="00864E2D" w:rsidRDefault="00B5136C" w:rsidP="00B5136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6D1A" w14:textId="77777777" w:rsid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0B975AD6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</w:p>
          <w:p w14:paraId="488475CB" w14:textId="77777777"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Zna podstawy polskich norm prawnych, zwłaszcza w zakresie geologii i ochrony środowiska, przede wszystkim normy zawarte w Konstytucji RP oraz w najważniejszych ustawach dot. Geologii i ochrony środowiska (np. ustawy z 9 czerwca 2011 r. prawo geologiczne i górnicze, ustawy z 27 kwietnia 2001 r. prawo ochrony środowiska).</w:t>
            </w:r>
          </w:p>
          <w:p w14:paraId="1CA7D37A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6D68A3EB" w14:textId="77777777"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2 Zna zasady wykładni przepisów prawnych dotyczących geologii i ochrony środowiska</w:t>
            </w:r>
          </w:p>
          <w:p w14:paraId="62655BD7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65812F7B" w14:textId="77777777"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Potrafi zinterpretować i stosować unormowania zawarte w aktach prawnych dotyczące aspektów geologii i ochrony środowiska m.in. w gospodarce.</w:t>
            </w:r>
          </w:p>
          <w:p w14:paraId="28075C80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3D7453AC" w14:textId="77777777"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2 Potrafi wykonać podstawowe opracowania prawne typu "studium 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lastRenderedPageBreak/>
              <w:t>przypadku" dotyczące zagadnień geologicznych środowiskowych wykorzystując polski stan prawny i stan prawny Unii Europejskiej.</w:t>
            </w:r>
          </w:p>
          <w:p w14:paraId="32BAB7AA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4024C7DB" w14:textId="77777777"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K_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Zna podstawy aksjologiczne polskiego systemu prawnego w zakresie geologii oraz ochrony środowiska i jest świadomy konieczności racjonalnego korzystania zasobami przyrody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E0E4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hAnsi="Verdana"/>
                <w:sz w:val="20"/>
                <w:szCs w:val="20"/>
              </w:rPr>
              <w:lastRenderedPageBreak/>
              <w:t>Symbole kierunkowych efektów kształcenia</w:t>
            </w:r>
          </w:p>
          <w:p w14:paraId="3BA77DD8" w14:textId="77777777" w:rsidR="00B5136C" w:rsidRPr="00B5136C" w:rsidRDefault="00B5136C" w:rsidP="00B5136C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3939A57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K1_W07, K1_W10</w:t>
            </w: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7094D165" w14:textId="77777777"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18320F12" w14:textId="77777777"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5378F749" w14:textId="77777777"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62B38BE0" w14:textId="77777777"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1D0A00D8" w14:textId="77777777"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23CF2A99" w14:textId="77777777"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14:paraId="5DA1F809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K1_W07, K1_W10</w:t>
            </w: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29B563E9" w14:textId="77777777"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2EC6B80A" w14:textId="77777777" w:rsid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188F1BAC" w14:textId="77777777"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45254643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</w:p>
          <w:p w14:paraId="42055BB2" w14:textId="77777777"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14:paraId="629B8FF5" w14:textId="77777777"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14:paraId="04EE911C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</w:p>
          <w:p w14:paraId="4F419040" w14:textId="77777777"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14:paraId="2147C01E" w14:textId="77777777"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14:paraId="58A202B5" w14:textId="77777777"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14:paraId="5A4EC25A" w14:textId="77777777" w:rsid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14:paraId="1A82E66A" w14:textId="77777777" w:rsid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14:paraId="2ACE43AE" w14:textId="77777777"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</w:t>
            </w:r>
          </w:p>
        </w:tc>
      </w:tr>
      <w:tr w:rsidR="00B527E5" w:rsidRPr="00864E2D" w14:paraId="790517F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D17C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554B" w14:textId="77777777"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45DF085" w14:textId="77777777" w:rsidR="00B527E5" w:rsidRPr="00B5136C" w:rsidRDefault="00B527E5" w:rsidP="002857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Pr="00B5136C">
              <w:rPr>
                <w:rFonts w:ascii="Verdana" w:hAnsi="Verdana"/>
                <w:sz w:val="20"/>
                <w:szCs w:val="20"/>
              </w:rPr>
              <w:t xml:space="preserve">obowiązkowa: </w:t>
            </w:r>
          </w:p>
          <w:p w14:paraId="72E0E2B9" w14:textId="77777777"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Bator, A. (red.), Wprowadzenie do nauk prawnych, Warszawa 2012.</w:t>
            </w:r>
          </w:p>
          <w:p w14:paraId="3866CD31" w14:textId="77777777"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Boć, J. (red.), Prawo administracyjne, Wrocław 2010</w:t>
            </w:r>
          </w:p>
          <w:p w14:paraId="5ADA9F8D" w14:textId="77777777"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Barcz, J., Górka, M., Wyrozumska, A., Instytucje i prawo Unii Europejskiej, Warszawa 2012.</w:t>
            </w:r>
          </w:p>
          <w:p w14:paraId="1027BA65" w14:textId="77777777" w:rsidR="00B5136C" w:rsidRPr="00B5136C" w:rsidRDefault="00B5136C" w:rsidP="002857AE">
            <w:pPr>
              <w:spacing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B5136C">
              <w:rPr>
                <w:rFonts w:ascii="Verdana" w:hAnsi="Verdana"/>
                <w:bCs/>
                <w:sz w:val="20"/>
                <w:szCs w:val="20"/>
              </w:rPr>
              <w:t>Literatura zalecana:</w:t>
            </w:r>
          </w:p>
          <w:p w14:paraId="5F2663D2" w14:textId="77777777" w:rsidR="00B5136C" w:rsidRPr="00B5136C" w:rsidRDefault="00B5136C" w:rsidP="00B5136C">
            <w:pPr>
              <w:pStyle w:val="Akapitzlist"/>
              <w:numPr>
                <w:ilvl w:val="0"/>
                <w:numId w:val="9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Adamiak, B., Borkowski, J., Postępowanie administracyjne i sądowoadministracyjne, Warszawa 2014</w:t>
            </w:r>
          </w:p>
          <w:p w14:paraId="5ED052CB" w14:textId="77777777" w:rsidR="00B527E5" w:rsidRPr="00B5136C" w:rsidRDefault="00B5136C" w:rsidP="00B5136C">
            <w:pPr>
              <w:pStyle w:val="Akapitzlist"/>
              <w:numPr>
                <w:ilvl w:val="0"/>
                <w:numId w:val="9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Radwański, Z., Olejniczak, A., Prawo cywilne – część ogólna, Warszawa 2011</w:t>
            </w:r>
          </w:p>
        </w:tc>
      </w:tr>
      <w:tr w:rsidR="00B527E5" w:rsidRPr="00864E2D" w14:paraId="21420DC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B0AE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DB8D" w14:textId="77777777" w:rsidR="002857AE" w:rsidRPr="002857AE" w:rsidRDefault="00B527E5" w:rsidP="00285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57A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97E8FFA" w14:textId="77777777" w:rsidR="002857AE" w:rsidRPr="002857AE" w:rsidRDefault="002857AE" w:rsidP="002857AE">
            <w:pPr>
              <w:spacing w:after="0" w:line="240" w:lineRule="auto"/>
              <w:rPr>
                <w:rFonts w:ascii="Verdana" w:eastAsia="Verdana" w:hAnsi="Verdana" w:cs="Verdana"/>
                <w:bCs/>
                <w:sz w:val="20"/>
                <w:szCs w:val="20"/>
              </w:rPr>
            </w:pPr>
            <w:r w:rsidRPr="002857AE">
              <w:rPr>
                <w:rFonts w:ascii="Verdana" w:hAnsi="Verdana"/>
                <w:sz w:val="20"/>
                <w:szCs w:val="20"/>
              </w:rPr>
              <w:t>- pisemna praca semestralna (</w:t>
            </w:r>
            <w:r w:rsidR="00B5136C" w:rsidRPr="002857AE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B527E5" w:rsidRPr="002857AE">
              <w:rPr>
                <w:rFonts w:ascii="Verdana" w:hAnsi="Verdana"/>
                <w:sz w:val="20"/>
                <w:szCs w:val="20"/>
              </w:rPr>
              <w:t>olokwium zaliczeniowe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 w formie pisemnej)</w:t>
            </w:r>
            <w:r w:rsidR="00B527E5" w:rsidRPr="002857A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  <w:p w14:paraId="07666F45" w14:textId="77777777" w:rsidR="002857AE" w:rsidRPr="002857AE" w:rsidRDefault="002857AE" w:rsidP="002857AE">
            <w:pPr>
              <w:spacing w:after="0" w:line="240" w:lineRule="auto"/>
              <w:rPr>
                <w:rFonts w:ascii="Verdana" w:eastAsia="Verdana" w:hAnsi="Verdana" w:cs="Verdana"/>
                <w:bCs/>
                <w:sz w:val="20"/>
                <w:szCs w:val="20"/>
              </w:rPr>
            </w:pP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 xml:space="preserve">- 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przygotowanie sprawozdań (ćwiczenia):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  <w:p w14:paraId="7FC770DF" w14:textId="77777777" w:rsidR="00B5136C" w:rsidRPr="002857AE" w:rsidRDefault="002857AE" w:rsidP="00285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-  pisemne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 sprawdziany cząstkowe (ćwiczenia)</w:t>
            </w:r>
            <w:r w:rsidR="00B5136C" w:rsidRPr="002857A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</w:tc>
      </w:tr>
      <w:tr w:rsidR="00B527E5" w:rsidRPr="00864E2D" w14:paraId="66F9967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55CC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7BA2" w14:textId="77777777" w:rsidR="00B527E5" w:rsidRPr="003A0D14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5B3A787" w14:textId="77777777" w:rsidR="00B527E5" w:rsidRDefault="00B527E5" w:rsidP="008A7F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 zobowiązany jest do uczestnictwa we wszystkich zajęciach. Istnieje możliwość odrabianie nieobecności (maksymalnie </w:t>
            </w:r>
            <w:r w:rsidR="00B5136C">
              <w:rPr>
                <w:rFonts w:ascii="Verdana" w:hAnsi="Verdana"/>
                <w:sz w:val="20"/>
                <w:szCs w:val="20"/>
              </w:rPr>
              <w:t>1 nieobecność</w:t>
            </w:r>
            <w:r>
              <w:rPr>
                <w:rFonts w:ascii="Verdana" w:hAnsi="Verdana"/>
                <w:sz w:val="20"/>
                <w:szCs w:val="20"/>
              </w:rPr>
              <w:t>) podczas konsultacji. Warunkiem przystąpienia do kolokwium zaliczeniowego jest uzyskanie pozytywnej oceny ze sprawdzianów cząstkowych</w:t>
            </w:r>
            <w:r w:rsidR="00B5136C">
              <w:rPr>
                <w:rFonts w:ascii="Verdana" w:hAnsi="Verdana"/>
                <w:sz w:val="20"/>
                <w:szCs w:val="20"/>
              </w:rPr>
              <w:t xml:space="preserve"> oraz sprawozdań</w:t>
            </w:r>
            <w:r>
              <w:rPr>
                <w:rFonts w:ascii="Verdana" w:hAnsi="Verdana"/>
                <w:sz w:val="20"/>
                <w:szCs w:val="20"/>
              </w:rPr>
              <w:t xml:space="preserve">. Student otrzymuje ocenę pozytywną ze sprawdzianów cząstkowych oraz kolokwium zaliczeniowego, jeśli uzyska minimum 50% ogólnej liczby punktów. </w:t>
            </w:r>
          </w:p>
          <w:p w14:paraId="682ED04A" w14:textId="77777777" w:rsidR="008A7FA2" w:rsidRPr="00864E2D" w:rsidRDefault="008A7FA2" w:rsidP="008A7F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468B220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A56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276B" w14:textId="77777777"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56FB57B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CDE4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86E2" w14:textId="77777777"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AE4" w14:textId="77777777"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4ED27E1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D0E2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2EB1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95505CD" w14:textId="77777777" w:rsidR="00B527E5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4D4D3F">
              <w:rPr>
                <w:rFonts w:ascii="Verdana" w:hAnsi="Verdana"/>
                <w:sz w:val="20"/>
                <w:szCs w:val="20"/>
              </w:rPr>
              <w:t>20</w:t>
            </w:r>
          </w:p>
          <w:p w14:paraId="4DCC90F1" w14:textId="77777777" w:rsidR="00CC6317" w:rsidRPr="00864E2D" w:rsidRDefault="00CC6317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56FA" w14:textId="77777777"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4D4D3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B527E5" w:rsidRPr="00864E2D" w14:paraId="6436A02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77A5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EABB" w14:textId="77777777"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827D018" w14:textId="77777777"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4D4D3F">
              <w:rPr>
                <w:rFonts w:ascii="Verdana" w:hAnsi="Verdana"/>
                <w:sz w:val="20"/>
                <w:szCs w:val="20"/>
              </w:rPr>
              <w:t>10</w:t>
            </w:r>
          </w:p>
          <w:p w14:paraId="7A66D91F" w14:textId="77777777" w:rsidR="004D4D3F" w:rsidRDefault="004D4D3F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CC6317">
              <w:rPr>
                <w:rFonts w:ascii="Verdana" w:hAnsi="Verdana"/>
                <w:sz w:val="20"/>
                <w:szCs w:val="20"/>
              </w:rPr>
              <w:t>10</w:t>
            </w:r>
          </w:p>
          <w:p w14:paraId="56A46123" w14:textId="77777777" w:rsidR="00CC6317" w:rsidRPr="00864E2D" w:rsidRDefault="00CC6317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sprawdzianu: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64B0" w14:textId="77777777"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B527E5" w:rsidRPr="00864E2D" w14:paraId="00373CA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1D48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2054" w14:textId="77777777"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3A2A" w14:textId="77777777"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B527E5" w:rsidRPr="00864E2D" w14:paraId="38D9819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422F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E06A" w14:textId="77777777"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147C" w14:textId="77777777"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B4D153D" w14:textId="77777777" w:rsidR="00F1032E" w:rsidRDefault="00F1032E"/>
    <w:sectPr w:rsidR="007D2D65" w:rsidSect="00DF5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C437B"/>
    <w:multiLevelType w:val="hybridMultilevel"/>
    <w:tmpl w:val="0C6CD07C"/>
    <w:lvl w:ilvl="0" w:tplc="AD76F23A">
      <w:start w:val="1"/>
      <w:numFmt w:val="decimal"/>
      <w:lvlText w:val="%1."/>
      <w:lvlJc w:val="left"/>
      <w:pPr>
        <w:ind w:left="720" w:hanging="360"/>
      </w:pPr>
    </w:lvl>
    <w:lvl w:ilvl="1" w:tplc="259A008A">
      <w:start w:val="1"/>
      <w:numFmt w:val="lowerLetter"/>
      <w:lvlText w:val="%2."/>
      <w:lvlJc w:val="left"/>
      <w:pPr>
        <w:ind w:left="1440" w:hanging="360"/>
      </w:pPr>
    </w:lvl>
    <w:lvl w:ilvl="2" w:tplc="1B5AB33E">
      <w:start w:val="1"/>
      <w:numFmt w:val="lowerRoman"/>
      <w:lvlText w:val="%3."/>
      <w:lvlJc w:val="right"/>
      <w:pPr>
        <w:ind w:left="2160" w:hanging="180"/>
      </w:pPr>
    </w:lvl>
    <w:lvl w:ilvl="3" w:tplc="E5DE1CDE">
      <w:start w:val="1"/>
      <w:numFmt w:val="decimal"/>
      <w:lvlText w:val="%4."/>
      <w:lvlJc w:val="left"/>
      <w:pPr>
        <w:ind w:left="2880" w:hanging="360"/>
      </w:pPr>
    </w:lvl>
    <w:lvl w:ilvl="4" w:tplc="F6C219CA">
      <w:start w:val="1"/>
      <w:numFmt w:val="lowerLetter"/>
      <w:lvlText w:val="%5."/>
      <w:lvlJc w:val="left"/>
      <w:pPr>
        <w:ind w:left="3600" w:hanging="360"/>
      </w:pPr>
    </w:lvl>
    <w:lvl w:ilvl="5" w:tplc="BEBE23F8">
      <w:start w:val="1"/>
      <w:numFmt w:val="lowerRoman"/>
      <w:lvlText w:val="%6."/>
      <w:lvlJc w:val="right"/>
      <w:pPr>
        <w:ind w:left="4320" w:hanging="180"/>
      </w:pPr>
    </w:lvl>
    <w:lvl w:ilvl="6" w:tplc="3DA2EEF2">
      <w:start w:val="1"/>
      <w:numFmt w:val="decimal"/>
      <w:lvlText w:val="%7."/>
      <w:lvlJc w:val="left"/>
      <w:pPr>
        <w:ind w:left="5040" w:hanging="360"/>
      </w:pPr>
    </w:lvl>
    <w:lvl w:ilvl="7" w:tplc="7BEED200">
      <w:start w:val="1"/>
      <w:numFmt w:val="lowerLetter"/>
      <w:lvlText w:val="%8."/>
      <w:lvlJc w:val="left"/>
      <w:pPr>
        <w:ind w:left="5760" w:hanging="360"/>
      </w:pPr>
    </w:lvl>
    <w:lvl w:ilvl="8" w:tplc="07C455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12DDA"/>
    <w:multiLevelType w:val="hybridMultilevel"/>
    <w:tmpl w:val="A266A178"/>
    <w:lvl w:ilvl="0" w:tplc="01C899A6">
      <w:start w:val="1"/>
      <w:numFmt w:val="decimal"/>
      <w:lvlText w:val="%1."/>
      <w:lvlJc w:val="left"/>
      <w:pPr>
        <w:ind w:left="720" w:hanging="360"/>
      </w:pPr>
    </w:lvl>
    <w:lvl w:ilvl="1" w:tplc="08A04DA2">
      <w:start w:val="1"/>
      <w:numFmt w:val="lowerLetter"/>
      <w:lvlText w:val="%2."/>
      <w:lvlJc w:val="left"/>
      <w:pPr>
        <w:ind w:left="1440" w:hanging="360"/>
      </w:pPr>
    </w:lvl>
    <w:lvl w:ilvl="2" w:tplc="9CB2FEF0">
      <w:start w:val="1"/>
      <w:numFmt w:val="lowerRoman"/>
      <w:lvlText w:val="%3."/>
      <w:lvlJc w:val="right"/>
      <w:pPr>
        <w:ind w:left="2160" w:hanging="180"/>
      </w:pPr>
    </w:lvl>
    <w:lvl w:ilvl="3" w:tplc="F03A7DB4">
      <w:start w:val="1"/>
      <w:numFmt w:val="decimal"/>
      <w:lvlText w:val="%4."/>
      <w:lvlJc w:val="left"/>
      <w:pPr>
        <w:ind w:left="2880" w:hanging="360"/>
      </w:pPr>
    </w:lvl>
    <w:lvl w:ilvl="4" w:tplc="CD62CEC2">
      <w:start w:val="1"/>
      <w:numFmt w:val="lowerLetter"/>
      <w:lvlText w:val="%5."/>
      <w:lvlJc w:val="left"/>
      <w:pPr>
        <w:ind w:left="3600" w:hanging="360"/>
      </w:pPr>
    </w:lvl>
    <w:lvl w:ilvl="5" w:tplc="999C79F8">
      <w:start w:val="1"/>
      <w:numFmt w:val="lowerRoman"/>
      <w:lvlText w:val="%6."/>
      <w:lvlJc w:val="right"/>
      <w:pPr>
        <w:ind w:left="4320" w:hanging="180"/>
      </w:pPr>
    </w:lvl>
    <w:lvl w:ilvl="6" w:tplc="ABD8043C">
      <w:start w:val="1"/>
      <w:numFmt w:val="decimal"/>
      <w:lvlText w:val="%7."/>
      <w:lvlJc w:val="left"/>
      <w:pPr>
        <w:ind w:left="5040" w:hanging="360"/>
      </w:pPr>
    </w:lvl>
    <w:lvl w:ilvl="7" w:tplc="E40E6E98">
      <w:start w:val="1"/>
      <w:numFmt w:val="lowerLetter"/>
      <w:lvlText w:val="%8."/>
      <w:lvlJc w:val="left"/>
      <w:pPr>
        <w:ind w:left="5760" w:hanging="360"/>
      </w:pPr>
    </w:lvl>
    <w:lvl w:ilvl="8" w:tplc="19E021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959C7"/>
    <w:multiLevelType w:val="hybridMultilevel"/>
    <w:tmpl w:val="C9A2DEEE"/>
    <w:lvl w:ilvl="0" w:tplc="DBE80F76">
      <w:start w:val="1"/>
      <w:numFmt w:val="decimal"/>
      <w:lvlText w:val="%1."/>
      <w:lvlJc w:val="left"/>
      <w:pPr>
        <w:ind w:left="720" w:hanging="360"/>
      </w:pPr>
    </w:lvl>
    <w:lvl w:ilvl="1" w:tplc="5DA8621A">
      <w:start w:val="1"/>
      <w:numFmt w:val="lowerLetter"/>
      <w:lvlText w:val="%2."/>
      <w:lvlJc w:val="left"/>
      <w:pPr>
        <w:ind w:left="1440" w:hanging="360"/>
      </w:pPr>
    </w:lvl>
    <w:lvl w:ilvl="2" w:tplc="0BCA9708">
      <w:start w:val="1"/>
      <w:numFmt w:val="lowerRoman"/>
      <w:lvlText w:val="%3."/>
      <w:lvlJc w:val="right"/>
      <w:pPr>
        <w:ind w:left="2160" w:hanging="180"/>
      </w:pPr>
    </w:lvl>
    <w:lvl w:ilvl="3" w:tplc="7A581652">
      <w:start w:val="1"/>
      <w:numFmt w:val="decimal"/>
      <w:lvlText w:val="%4."/>
      <w:lvlJc w:val="left"/>
      <w:pPr>
        <w:ind w:left="2880" w:hanging="360"/>
      </w:pPr>
    </w:lvl>
    <w:lvl w:ilvl="4" w:tplc="C666B5F8">
      <w:start w:val="1"/>
      <w:numFmt w:val="lowerLetter"/>
      <w:lvlText w:val="%5."/>
      <w:lvlJc w:val="left"/>
      <w:pPr>
        <w:ind w:left="3600" w:hanging="360"/>
      </w:pPr>
    </w:lvl>
    <w:lvl w:ilvl="5" w:tplc="9536B00C">
      <w:start w:val="1"/>
      <w:numFmt w:val="lowerRoman"/>
      <w:lvlText w:val="%6."/>
      <w:lvlJc w:val="right"/>
      <w:pPr>
        <w:ind w:left="4320" w:hanging="180"/>
      </w:pPr>
    </w:lvl>
    <w:lvl w:ilvl="6" w:tplc="5B02ADB0">
      <w:start w:val="1"/>
      <w:numFmt w:val="decimal"/>
      <w:lvlText w:val="%7."/>
      <w:lvlJc w:val="left"/>
      <w:pPr>
        <w:ind w:left="5040" w:hanging="360"/>
      </w:pPr>
    </w:lvl>
    <w:lvl w:ilvl="7" w:tplc="A606BECA">
      <w:start w:val="1"/>
      <w:numFmt w:val="lowerLetter"/>
      <w:lvlText w:val="%8."/>
      <w:lvlJc w:val="left"/>
      <w:pPr>
        <w:ind w:left="5760" w:hanging="360"/>
      </w:pPr>
    </w:lvl>
    <w:lvl w:ilvl="8" w:tplc="C70A66E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330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23097">
    <w:abstractNumId w:val="9"/>
  </w:num>
  <w:num w:numId="3" w16cid:durableId="81724175">
    <w:abstractNumId w:val="6"/>
  </w:num>
  <w:num w:numId="4" w16cid:durableId="1684236921">
    <w:abstractNumId w:val="7"/>
  </w:num>
  <w:num w:numId="5" w16cid:durableId="1161965971">
    <w:abstractNumId w:val="3"/>
  </w:num>
  <w:num w:numId="6" w16cid:durableId="276958295">
    <w:abstractNumId w:val="5"/>
  </w:num>
  <w:num w:numId="7" w16cid:durableId="1493257723">
    <w:abstractNumId w:val="2"/>
  </w:num>
  <w:num w:numId="8" w16cid:durableId="1183516947">
    <w:abstractNumId w:val="4"/>
  </w:num>
  <w:num w:numId="9" w16cid:durableId="30495374">
    <w:abstractNumId w:val="8"/>
  </w:num>
  <w:num w:numId="10" w16cid:durableId="771364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387"/>
    <w:rsid w:val="0005401A"/>
    <w:rsid w:val="00274073"/>
    <w:rsid w:val="002857AE"/>
    <w:rsid w:val="00315084"/>
    <w:rsid w:val="00342121"/>
    <w:rsid w:val="003A0D14"/>
    <w:rsid w:val="004053B5"/>
    <w:rsid w:val="004556E6"/>
    <w:rsid w:val="004D4D3F"/>
    <w:rsid w:val="005B78DB"/>
    <w:rsid w:val="005C486A"/>
    <w:rsid w:val="00633493"/>
    <w:rsid w:val="006556AA"/>
    <w:rsid w:val="006A06B2"/>
    <w:rsid w:val="006C5501"/>
    <w:rsid w:val="006D6B7B"/>
    <w:rsid w:val="006E738C"/>
    <w:rsid w:val="00706E0D"/>
    <w:rsid w:val="008962B9"/>
    <w:rsid w:val="008A7FA2"/>
    <w:rsid w:val="008E7503"/>
    <w:rsid w:val="00912E3A"/>
    <w:rsid w:val="0099524F"/>
    <w:rsid w:val="00A31932"/>
    <w:rsid w:val="00A66E97"/>
    <w:rsid w:val="00B5136C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CC6317"/>
    <w:rsid w:val="00D122F9"/>
    <w:rsid w:val="00D64DC7"/>
    <w:rsid w:val="00DF5E70"/>
    <w:rsid w:val="00E749AE"/>
    <w:rsid w:val="00EA4DEC"/>
    <w:rsid w:val="00F1032E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F04D"/>
  <w15:docId w15:val="{1D987775-3678-4558-9CC6-814427F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136C"/>
    <w:pPr>
      <w:suppressAutoHyphens/>
      <w:spacing w:after="120" w:line="276" w:lineRule="auto"/>
      <w:ind w:left="284" w:hanging="284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5136C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2019-04-27T15:16:00Z</dcterms:created>
  <dcterms:modified xsi:type="dcterms:W3CDTF">2024-11-29T17:01:00Z</dcterms:modified>
</cp:coreProperties>
</file>