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53B5" w14:textId="77777777" w:rsidR="00760BE5" w:rsidRPr="004F1507" w:rsidRDefault="00697046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4F150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799253B6" w14:textId="77777777" w:rsidR="00760BE5" w:rsidRPr="004F1507" w:rsidRDefault="00697046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4F150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4F1507"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14:paraId="799253B7" w14:textId="77777777" w:rsidR="00760BE5" w:rsidRPr="004F1507" w:rsidRDefault="00760BE5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799253B8" w14:textId="77777777" w:rsidR="00760BE5" w:rsidRPr="004F1507" w:rsidRDefault="00697046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4F150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799253B9" w14:textId="77777777" w:rsidR="00760BE5" w:rsidRPr="004F1507" w:rsidRDefault="00760BE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60BE5" w:rsidRPr="004F1507" w14:paraId="799253B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BA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BB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99253BC" w14:textId="77777777" w:rsidR="00760BE5" w:rsidRPr="00960C27" w:rsidRDefault="00D242DF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60C27">
              <w:rPr>
                <w:rFonts w:ascii="Verdana" w:hAnsi="Verdana" w:cs="Verdana"/>
                <w:sz w:val="20"/>
                <w:szCs w:val="20"/>
              </w:rPr>
              <w:t>Stable isotopes forensics and food authenticity</w:t>
            </w:r>
            <w:r w:rsidR="008330F2" w:rsidRPr="00960C27">
              <w:rPr>
                <w:rFonts w:ascii="Verdana" w:hAnsi="Verdana" w:cs="Verdana"/>
                <w:sz w:val="20"/>
                <w:szCs w:val="20"/>
              </w:rPr>
              <w:t>/</w:t>
            </w:r>
            <w:r w:rsidR="008330F2" w:rsidRPr="004F1507">
              <w:rPr>
                <w:rFonts w:ascii="Verdana" w:hAnsi="Verdana"/>
                <w:sz w:val="20"/>
                <w:szCs w:val="20"/>
              </w:rPr>
              <w:t>Badania izotopowe w technikach śledczych i testach autentyczności żywności</w:t>
            </w:r>
          </w:p>
        </w:tc>
      </w:tr>
      <w:tr w:rsidR="00760BE5" w:rsidRPr="00960C27" w14:paraId="799253C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BE" w14:textId="77777777" w:rsidR="00760BE5" w:rsidRPr="00960C2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BF" w14:textId="77777777"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799253C0" w14:textId="77777777"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760BE5" w:rsidRPr="004F1507" w14:paraId="799253C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2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3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799253C4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760BE5" w:rsidRPr="00960C27" w14:paraId="799253C9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6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7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799253C8" w14:textId="77777777" w:rsidR="00760BE5" w:rsidRPr="004F1507" w:rsidRDefault="00697046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Faculty of Earth Science and Environmental Management, Institute of Geological Sciences</w:t>
            </w:r>
            <w:r w:rsidR="00963FBC"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Department of Experimental Petrology</w:t>
            </w:r>
          </w:p>
        </w:tc>
      </w:tr>
      <w:tr w:rsidR="00760BE5" w:rsidRPr="004F1507" w14:paraId="799253C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A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B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799253CC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60BE5" w:rsidRPr="004F1507" w14:paraId="799253D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E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CF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99253D0" w14:textId="77777777" w:rsidR="00760BE5" w:rsidRPr="004F1507" w:rsidRDefault="00D242DF" w:rsidP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760BE5" w:rsidRPr="004F1507" w14:paraId="799253D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2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3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799253D4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4F1507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760BE5" w:rsidRPr="004F1507" w14:paraId="799253D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6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7" w14:textId="77777777"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799253D8" w14:textId="77777777"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760BE5" w:rsidRPr="004F1507" w14:paraId="799253D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A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B" w14:textId="77777777"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799253DC" w14:textId="77777777" w:rsidR="00760BE5" w:rsidRPr="004F1507" w:rsidRDefault="00697046">
            <w:pPr>
              <w:spacing w:after="120" w:line="240" w:lineRule="auto"/>
              <w:jc w:val="both"/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760BE5" w:rsidRPr="004F1507" w14:paraId="799253E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E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DF" w14:textId="77777777"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799253E0" w14:textId="77777777" w:rsidR="00760BE5" w:rsidRPr="004F1507" w:rsidRDefault="00697046" w:rsidP="00963FBC">
            <w:pPr>
              <w:spacing w:after="120" w:line="240" w:lineRule="auto"/>
              <w:jc w:val="both"/>
            </w:pPr>
            <w:r w:rsidRPr="004F1507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760BE5" w:rsidRPr="00960C27" w14:paraId="799253E7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2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3" w14:textId="77777777"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799253E4" w14:textId="77777777" w:rsidR="00760BE5" w:rsidRPr="004F1507" w:rsidRDefault="00697046">
            <w:pPr>
              <w:spacing w:after="120" w:line="240" w:lineRule="auto"/>
              <w:rPr>
                <w:lang w:val="en-US"/>
              </w:rPr>
            </w:pPr>
            <w:r w:rsidRPr="00960C27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8330F2" w:rsidRPr="00960C27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14:paraId="799253E5" w14:textId="77777777"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799253E6" w14:textId="77777777" w:rsidR="00760BE5" w:rsidRPr="004F1507" w:rsidRDefault="00697046" w:rsidP="00D242DF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Multimedia </w:t>
            </w:r>
            <w:r w:rsidR="00D242DF" w:rsidRPr="004F1507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  <w:r w:rsidR="008330F2" w:rsidRPr="004F1507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760BE5" w:rsidRPr="00960C27" w14:paraId="799253E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8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9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799253EA" w14:textId="77777777" w:rsidR="007C7F46" w:rsidRPr="004F1507" w:rsidRDefault="00697046" w:rsidP="007C7F46">
            <w:pPr>
              <w:spacing w:after="120" w:line="240" w:lineRule="auto"/>
              <w:rPr>
                <w:rFonts w:cs="Times New Roman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r w:rsidR="008330F2" w:rsidRPr="004F15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Maciej Górka, </w:t>
            </w:r>
            <w:r w:rsidR="008330F2" w:rsidRPr="004F15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>rof. UWr</w:t>
            </w:r>
          </w:p>
          <w:p w14:paraId="799253EB" w14:textId="77777777" w:rsidR="007C7F46" w:rsidRPr="004F1507" w:rsidRDefault="00697046" w:rsidP="008330F2">
            <w:pPr>
              <w:spacing w:after="120" w:line="240" w:lineRule="auto"/>
              <w:rPr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r w:rsidR="008330F2" w:rsidRPr="004F15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Maciej Górka, </w:t>
            </w:r>
            <w:r w:rsidR="008330F2" w:rsidRPr="004F15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rof. UWr</w:t>
            </w:r>
          </w:p>
        </w:tc>
      </w:tr>
      <w:tr w:rsidR="00760BE5" w:rsidRPr="00960C27" w14:paraId="799253F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D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EE" w14:textId="77777777" w:rsidR="00760BE5" w:rsidRPr="004F1507" w:rsidRDefault="00697046" w:rsidP="009E28D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799253EF" w14:textId="77777777" w:rsidR="00760BE5" w:rsidRPr="004F1507" w:rsidRDefault="0060536E" w:rsidP="009E28DD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Basic knowledge and skills in analytics, chemistry and geochemistry</w:t>
            </w:r>
          </w:p>
        </w:tc>
      </w:tr>
      <w:tr w:rsidR="00760BE5" w:rsidRPr="00960C27" w14:paraId="799253F4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F1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F2" w14:textId="77777777" w:rsidR="00760BE5" w:rsidRPr="004F1507" w:rsidRDefault="00697046" w:rsidP="009E28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799253F3" w14:textId="77777777" w:rsidR="00963FBC" w:rsidRPr="004F1507" w:rsidRDefault="0060536E" w:rsidP="009E28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60C27">
              <w:rPr>
                <w:rFonts w:ascii="Verdana" w:hAnsi="Verdana"/>
                <w:sz w:val="20"/>
                <w:szCs w:val="20"/>
                <w:lang w:val="en-US"/>
              </w:rPr>
              <w:t xml:space="preserve">To introduce students with knowledge on: variation of the isotopic composition and fractionation processes of light elements O, H , S , C, N in nature ; instrumental and analytical methods; sample preparation for isotopic ratio analysis ; the use of isotope </w:t>
            </w:r>
            <w:r w:rsidRPr="00960C2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techniques in the study of forensics , food authenticity , sports doping , the origin of the population, etc.</w:t>
            </w:r>
          </w:p>
        </w:tc>
      </w:tr>
      <w:tr w:rsidR="00760BE5" w:rsidRPr="00960C27" w14:paraId="79925404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F5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3F6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99253F7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1. Definition of mass spectrometry, areas of application, basic general diagram of the mass spectrometer, sample preparation methods for the measurement of isotopic ratios (off-line and on-line), isotopic standards, calibrations etc.</w:t>
            </w:r>
          </w:p>
          <w:p w14:paraId="799253F8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2. The isotopic composition (S, C, H, N, O) of selected substances occurring in nature.</w:t>
            </w:r>
          </w:p>
          <w:p w14:paraId="799253F9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3. The use of isotope techniques in distinguishing drugs: (i) natural and semi-synthetic (marijuana, morphine / heroin, cocaine) and synthetic (MDMA-methylenedioxymethamphetamine, methamphetamine)</w:t>
            </w:r>
          </w:p>
          <w:p w14:paraId="799253FA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4. The application of isotope techniques in distinguishing explosives and their precursors: ammonium nitrate, hexamine, cyclotrimethylenetrinitramine (RDX), Sentex, Perchlorate, Tetranitrate Pentaerythritol tetranitrate (PETN), Trinitrotoluene (TNT), High Melting Point Explosive (HMX) and Ammonium nitrate and fuel oil (ANFO).</w:t>
            </w:r>
          </w:p>
          <w:p w14:paraId="799253FB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5. The use of isotope techniques in tracing the origin of the population: geographical variation of the isotopic composition of human tissues, bones and hair (record of the history of life), the investigative archaeological research etc.</w:t>
            </w:r>
          </w:p>
          <w:p w14:paraId="799253FC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6. The use of isotope techniques in the study of various substances in investigative techniques and crime: traces of microbiological testing of materials from the crime scene (e.g. paper, plastic, adhesive films, matches etc.)</w:t>
            </w:r>
          </w:p>
          <w:p w14:paraId="799253FD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7. The use of isotope techniques in testing the authenticity of the food:</w:t>
            </w:r>
          </w:p>
          <w:p w14:paraId="799253FE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(I) alcohols (pure ethanol, wine, whiskey, tequila, beer, etc.);</w:t>
            </w:r>
          </w:p>
          <w:p w14:paraId="799253FF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(Ii) cheeses and dairy products;</w:t>
            </w:r>
          </w:p>
          <w:p w14:paraId="79925400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(Iii) the meat and fish;</w:t>
            </w:r>
          </w:p>
          <w:p w14:paraId="79925401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(Iv) high-quality natural oil, honey, spices;</w:t>
            </w:r>
          </w:p>
          <w:p w14:paraId="79925402" w14:textId="77777777"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(V) pharmaceutical products and medicines.</w:t>
            </w:r>
          </w:p>
          <w:p w14:paraId="79925403" w14:textId="77777777" w:rsidR="007C7F46" w:rsidRPr="004F1507" w:rsidRDefault="0060536E" w:rsidP="002F2B5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8. The use of isotope techniques in studies of anti-doping and the service of the "purity" of sports</w:t>
            </w:r>
            <w:r w:rsidR="002F2B50"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760BE5" w:rsidRPr="004F1507" w14:paraId="7992542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05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06" w14:textId="77777777" w:rsidR="00760BE5" w:rsidRPr="004F1507" w:rsidRDefault="00697046">
            <w:pPr>
              <w:spacing w:after="12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79925407" w14:textId="77777777" w:rsidR="007C7F46" w:rsidRPr="004F1507" w:rsidRDefault="007C7F4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79925408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14:paraId="79925409" w14:textId="77777777"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W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 Knows the idea of mass spectrometry, sample preparation for analysis of isotopic ratios, etc.</w:t>
            </w:r>
          </w:p>
          <w:p w14:paraId="7992540A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14:paraId="7992540B" w14:textId="77777777"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W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2 knows how to use isotope techniques for solving problems related to the study investigators, food authenticity testing and forensic research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  <w:p w14:paraId="7992540C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14:paraId="7992540D" w14:textId="77777777"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U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 uses the technique of mass spectrometry in forensics, c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rime and tracers investigations.</w:t>
            </w:r>
          </w:p>
          <w:p w14:paraId="7992540E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14:paraId="7992540F" w14:textId="77777777"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K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 is aware of the role and importance of modern isotope analytical techniques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  <w:p w14:paraId="79925410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14:paraId="79925411" w14:textId="77777777" w:rsidR="00760BE5" w:rsidRPr="004F1507" w:rsidRDefault="000130FE" w:rsidP="000130F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K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2 is capable of reliable preparing samples for isotopic analyses and understands the social responsibility resulting from presented on the basis of the results, reports and conclusions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12" w14:textId="77777777" w:rsidR="000130FE" w:rsidRPr="004F1507" w:rsidRDefault="000130FE" w:rsidP="000130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4F150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79925413" w14:textId="77777777" w:rsidR="005D5FF9" w:rsidRPr="004F1507" w:rsidRDefault="005D5FF9" w:rsidP="005D5FF9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</w:p>
          <w:p w14:paraId="79925414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K_W02, K_W03, K_W06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K_W08, K_W09</w:t>
            </w:r>
          </w:p>
          <w:p w14:paraId="79925415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6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7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8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K_W02, K_W03, K_W06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K_W08, K_W09</w:t>
            </w:r>
          </w:p>
          <w:p w14:paraId="79925419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A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B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C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D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K_U01, K_U02, K_U05</w:t>
            </w:r>
          </w:p>
          <w:p w14:paraId="7992541E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1F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20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21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K_K01, K_K06</w:t>
            </w:r>
          </w:p>
          <w:p w14:paraId="79925422" w14:textId="77777777"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23" w14:textId="77777777"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9925424" w14:textId="77777777" w:rsidR="00760BE5" w:rsidRPr="004F1507" w:rsidRDefault="0060536E" w:rsidP="005D5F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K_K01, K_K06</w:t>
            </w:r>
          </w:p>
        </w:tc>
      </w:tr>
      <w:tr w:rsidR="00760BE5" w:rsidRPr="004F1507" w14:paraId="79925438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26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27" w14:textId="77777777" w:rsidR="00760BE5" w:rsidRPr="004F1507" w:rsidRDefault="00697046" w:rsidP="00F77186">
            <w:pPr>
              <w:spacing w:after="12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79925428" w14:textId="77777777" w:rsidR="006D77DD" w:rsidRPr="00960C27" w:rsidRDefault="006D77DD" w:rsidP="006D77DD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reading </w:t>
            </w:r>
          </w:p>
          <w:p w14:paraId="79925429" w14:textId="77777777"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Meier-Augenstein W., Stable isotopes forensics, Wiley-Blackwell, 2010</w:t>
            </w:r>
          </w:p>
          <w:p w14:paraId="7992542A" w14:textId="77777777"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Barker J., Mass spectrometry (Second edition), John Wiley &amp; Sons, Chichester New York Brisbane Singapore Toronto, 1999 </w:t>
            </w:r>
          </w:p>
          <w:p w14:paraId="7992542B" w14:textId="77777777" w:rsidR="0060536E" w:rsidRPr="00960C2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nl-NL"/>
              </w:rPr>
            </w:pPr>
            <w:r w:rsidRPr="00960C27">
              <w:rPr>
                <w:rFonts w:ascii="Verdana" w:hAnsi="Verdana"/>
                <w:sz w:val="20"/>
                <w:szCs w:val="20"/>
                <w:lang w:val="nl-NL"/>
              </w:rPr>
              <w:t>Hoefs J., Stable Isotope Geochemistry, Springer-Verlag, Berlin Heidelberg 2009</w:t>
            </w:r>
          </w:p>
          <w:p w14:paraId="7992542C" w14:textId="77777777"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14:paraId="7992542D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 xml:space="preserve">Publications from Scopus, ISI Web etc. </w:t>
            </w: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(available to the teacher ) e.g.:</w:t>
            </w:r>
          </w:p>
          <w:p w14:paraId="7992542E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Benson S. , Lennard C., Maynard P., Roux C., 2006, Forensic applications of isotope ratio mass spectrometry - A review. Forensic Science International, 157(1): 1-22</w:t>
            </w:r>
          </w:p>
          <w:p w14:paraId="7992542F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Ghidini S, Ianieri A, Zanardi E, Conter M, Boschetti T, Iacumin P, Bracchi PG, 2006, Stable isotopes determination in food authentication: A review. Ann Fac Medic Vet Univ Parma, (XXVI 2006):193-204.</w:t>
            </w:r>
          </w:p>
          <w:p w14:paraId="79925430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Ehleringer J.R., Cooper D.A., Lott M.J., Cook C.S., 1999, Geo-location of heroin and cocaine by stable isotope ratios. Forensic Science International, 106: 27–35</w:t>
            </w:r>
          </w:p>
          <w:p w14:paraId="79925431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Widory, D., Minet, J.J., Barbe-Le Borgne, M. 2009. Fingerprinting explosives: A multi-isotope approach. Science &amp; Justice, 49: 62-72.</w:t>
            </w:r>
          </w:p>
          <w:p w14:paraId="79925432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Ehleringer, J. R., Bowen, G. J., Chesson, L. A., West, A. G., Podlesak, D. W. and Cerling, T. E., 2008, Hydrogen and oxygen isotope ratios in human hair are related to geography. Proc. Natl. Acad. Sci USA, 105: 2788-2793</w:t>
            </w:r>
          </w:p>
          <w:p w14:paraId="79925433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Jahren, A. H.; Kraft, R. A., 2008,  Carbon and nitrogen stable isotopes in fast food: Signatures of corn and confinement. Proc. Natl. Acad. Sci. USA , 105: 17855-17860.</w:t>
            </w:r>
          </w:p>
          <w:p w14:paraId="79925434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Martinelli L.A., Nardoto G.B., Chesson L.A., Rinaldi F.D., Ometto J.P, Cerling T.E., Ehleringer J.R., 2011, Worldwide stable carbon and nitrogen isotopes of Big Mac® patties: An example of a truly “glocal” food, Food Chemistry, 127(4): 1712-1718</w:t>
            </w:r>
          </w:p>
          <w:p w14:paraId="79925435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L.A. Martinelli, M.Z. Moreira, J.P.H.B. Ometto, A.R. Alcarde, L.A. Rizzon, E. Stange et al., 2003, Stable carbon isotopic composition of the wine and CO2 bubbles of sparkling wines: Detecting C-4 sugar additions. Journal of Agricultural and Food Chemistry, 51: 2625–2631</w:t>
            </w:r>
          </w:p>
          <w:p w14:paraId="79925436" w14:textId="77777777"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Drivelos S.A.,  Georgiou C.A., 2012, Multi-element and multi-isotope-ratio analysis to determine the geographical origin of foods in the European Union, TrAC Trends in Analytical Chemistry, 40: 38-51</w:t>
            </w:r>
          </w:p>
          <w:p w14:paraId="79925437" w14:textId="77777777" w:rsidR="00760BE5" w:rsidRPr="004F1507" w:rsidRDefault="0060536E" w:rsidP="006D77DD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Cawley AT, Trout GJ, Kazlauskas R, Howe CJ, George AV., 2009, Carbon isotope ratio </w:t>
            </w: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sym w:font="Symbol" w:char="F064"/>
            </w:r>
            <w:r w:rsidRPr="004F150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13</w:t>
            </w: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 values of urinary steroids for doping control in sport. Steroids, 74(3): 379-92</w:t>
            </w:r>
          </w:p>
        </w:tc>
      </w:tr>
      <w:tr w:rsidR="00760BE5" w:rsidRPr="004F1507" w14:paraId="7992543C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39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3A" w14:textId="77777777" w:rsidR="00760BE5" w:rsidRPr="004F1507" w:rsidRDefault="00697046" w:rsidP="008F46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7992543B" w14:textId="77777777" w:rsidR="00760BE5" w:rsidRPr="004F1507" w:rsidRDefault="000E59EC" w:rsidP="000E59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W</w:t>
            </w:r>
            <w:r w:rsidR="00697046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ritten </w:t>
            </w:r>
            <w:r w:rsidR="00AF6077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="00AF6077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60536E" w:rsidRPr="004F1507">
              <w:rPr>
                <w:rFonts w:ascii="Verdana" w:hAnsi="Verdana"/>
                <w:sz w:val="20"/>
                <w:szCs w:val="20"/>
              </w:rPr>
              <w:t>K_W02, K_W03, K_W06, K_W08, K_W09, K_U01, K_U02, K_U05, K_K01, K_K06</w:t>
            </w:r>
            <w:r w:rsidRPr="004F15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60BE5" w:rsidRPr="00960C27" w14:paraId="79925441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3D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3E" w14:textId="77777777" w:rsidR="00760BE5" w:rsidRPr="004F1507" w:rsidRDefault="00697046" w:rsidP="008F46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7992543F" w14:textId="77777777" w:rsidR="00D75438" w:rsidRPr="004F1507" w:rsidRDefault="00F91B30" w:rsidP="008F465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L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ecture</w:t>
            </w: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s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: </w:t>
            </w:r>
          </w:p>
          <w:p w14:paraId="79925440" w14:textId="77777777" w:rsidR="00760BE5" w:rsidRPr="004F1507" w:rsidRDefault="00D75438" w:rsidP="008F465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945C04" w:rsidRPr="004F1507">
              <w:rPr>
                <w:rFonts w:ascii="Verdana" w:hAnsi="Verdana" w:cs="Verdana"/>
                <w:sz w:val="20"/>
                <w:szCs w:val="20"/>
                <w:lang w:val="en-GB"/>
              </w:rPr>
              <w:t>open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test (in English): </w:t>
            </w:r>
            <w:r w:rsidR="00945C04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6 of 10 </w:t>
            </w:r>
            <w:r w:rsidR="00F91B30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possible points </w:t>
            </w:r>
            <w:r w:rsidR="00AF6077" w:rsidRPr="004F1507">
              <w:rPr>
                <w:rFonts w:ascii="Verdana" w:hAnsi="Verdana" w:cs="Verdana"/>
                <w:sz w:val="20"/>
                <w:szCs w:val="20"/>
                <w:lang w:val="en-GB"/>
              </w:rPr>
              <w:t>for note 3.0</w:t>
            </w:r>
          </w:p>
        </w:tc>
      </w:tr>
      <w:tr w:rsidR="00760BE5" w:rsidRPr="004F1507" w14:paraId="79925444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42" w14:textId="77777777"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43" w14:textId="77777777"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60BE5" w:rsidRPr="00960C27" w14:paraId="79925448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45" w14:textId="77777777"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46" w14:textId="77777777" w:rsidR="00760BE5" w:rsidRPr="004F15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47" w14:textId="77777777" w:rsidR="00760BE5" w:rsidRPr="004F15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60BE5" w:rsidRPr="004F1507" w14:paraId="7992544E" w14:textId="77777777" w:rsidTr="00DB5B8B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49" w14:textId="77777777"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4A" w14:textId="77777777" w:rsidR="00760BE5" w:rsidRPr="004F1507" w:rsidRDefault="00697046" w:rsidP="00DB5B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7992544C" w14:textId="4A18FAEC" w:rsidR="00760BE5" w:rsidRPr="00960C27" w:rsidRDefault="00697046" w:rsidP="00DB5B8B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4D" w14:textId="2B7762F9" w:rsidR="00760BE5" w:rsidRPr="004F1507" w:rsidRDefault="00960C27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760BE5" w:rsidRPr="004F1507" w14:paraId="79925455" w14:textId="77777777" w:rsidTr="00DB5B8B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4F" w14:textId="77777777"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50" w14:textId="77777777" w:rsidR="00760BE5" w:rsidRDefault="00697046" w:rsidP="00DB5B8B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4988EC5B" w14:textId="24E04351" w:rsidR="00960C27" w:rsidRPr="004F1507" w:rsidRDefault="00960C27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11</w:t>
            </w:r>
          </w:p>
          <w:p w14:paraId="79925451" w14:textId="77777777" w:rsidR="00760BE5" w:rsidRPr="004F1507" w:rsidRDefault="00697046" w:rsidP="00DB5B8B">
            <w:pPr>
              <w:spacing w:after="0" w:line="240" w:lineRule="auto"/>
              <w:jc w:val="both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3</w:t>
            </w:r>
          </w:p>
          <w:p w14:paraId="79925452" w14:textId="77777777" w:rsidR="00760BE5" w:rsidRPr="004F1507" w:rsidRDefault="00697046" w:rsidP="00DB5B8B">
            <w:pPr>
              <w:spacing w:after="0" w:line="240" w:lineRule="auto"/>
              <w:jc w:val="both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14:paraId="79925453" w14:textId="77777777" w:rsidR="00760BE5" w:rsidRPr="004F1507" w:rsidRDefault="00697046" w:rsidP="00DB5B8B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12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54" w14:textId="2B5C3CC3" w:rsidR="00760BE5" w:rsidRPr="004F1507" w:rsidRDefault="00960C27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</w:tc>
      </w:tr>
      <w:tr w:rsidR="00760BE5" w:rsidRPr="004F1507" w14:paraId="79925459" w14:textId="77777777" w:rsidTr="00DB5B8B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56" w14:textId="77777777"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57" w14:textId="77777777" w:rsidR="00760BE5" w:rsidRPr="004F1507" w:rsidRDefault="00697046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58" w14:textId="77777777"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60BE5" w14:paraId="7992545D" w14:textId="77777777" w:rsidTr="00DB5B8B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5A" w14:textId="77777777"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45B" w14:textId="77777777" w:rsidR="00760BE5" w:rsidRPr="004F1507" w:rsidRDefault="00697046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545C" w14:textId="77777777"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992545E" w14:textId="77777777" w:rsidR="00760BE5" w:rsidRDefault="00760BE5" w:rsidP="001D2CFD"/>
    <w:sectPr w:rsidR="00760BE5" w:rsidSect="00F9533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A13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63C42"/>
    <w:multiLevelType w:val="multilevel"/>
    <w:tmpl w:val="EDAC8FD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5010B"/>
    <w:multiLevelType w:val="multilevel"/>
    <w:tmpl w:val="7BB07A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8DC5C88"/>
    <w:multiLevelType w:val="multilevel"/>
    <w:tmpl w:val="459865B4"/>
    <w:lvl w:ilvl="0">
      <w:start w:val="1"/>
      <w:numFmt w:val="decimal"/>
      <w:lvlText w:val="%1."/>
      <w:lvlJc w:val="left"/>
      <w:pPr>
        <w:ind w:left="1440" w:hanging="360"/>
      </w:pPr>
      <w:rPr>
        <w:rFonts w:ascii="Verdana" w:hAnsi="Verdana" w:cs="Verdana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CC4D4B"/>
    <w:multiLevelType w:val="hybridMultilevel"/>
    <w:tmpl w:val="EF10B6B6"/>
    <w:lvl w:ilvl="0" w:tplc="0809000F">
      <w:start w:val="1"/>
      <w:numFmt w:val="decimal"/>
      <w:lvlText w:val="%1."/>
      <w:lvlJc w:val="left"/>
      <w:pPr>
        <w:ind w:left="897" w:hanging="360"/>
      </w:pPr>
    </w:lvl>
    <w:lvl w:ilvl="1" w:tplc="08090019" w:tentative="1">
      <w:start w:val="1"/>
      <w:numFmt w:val="lowerLetter"/>
      <w:lvlText w:val="%2."/>
      <w:lvlJc w:val="left"/>
      <w:pPr>
        <w:ind w:left="1617" w:hanging="360"/>
      </w:pPr>
    </w:lvl>
    <w:lvl w:ilvl="2" w:tplc="0809001B" w:tentative="1">
      <w:start w:val="1"/>
      <w:numFmt w:val="lowerRoman"/>
      <w:lvlText w:val="%3."/>
      <w:lvlJc w:val="right"/>
      <w:pPr>
        <w:ind w:left="2337" w:hanging="180"/>
      </w:pPr>
    </w:lvl>
    <w:lvl w:ilvl="3" w:tplc="0809000F" w:tentative="1">
      <w:start w:val="1"/>
      <w:numFmt w:val="decimal"/>
      <w:lvlText w:val="%4."/>
      <w:lvlJc w:val="left"/>
      <w:pPr>
        <w:ind w:left="3057" w:hanging="360"/>
      </w:pPr>
    </w:lvl>
    <w:lvl w:ilvl="4" w:tplc="08090019" w:tentative="1">
      <w:start w:val="1"/>
      <w:numFmt w:val="lowerLetter"/>
      <w:lvlText w:val="%5."/>
      <w:lvlJc w:val="left"/>
      <w:pPr>
        <w:ind w:left="3777" w:hanging="360"/>
      </w:pPr>
    </w:lvl>
    <w:lvl w:ilvl="5" w:tplc="0809001B" w:tentative="1">
      <w:start w:val="1"/>
      <w:numFmt w:val="lowerRoman"/>
      <w:lvlText w:val="%6."/>
      <w:lvlJc w:val="right"/>
      <w:pPr>
        <w:ind w:left="4497" w:hanging="180"/>
      </w:pPr>
    </w:lvl>
    <w:lvl w:ilvl="6" w:tplc="0809000F" w:tentative="1">
      <w:start w:val="1"/>
      <w:numFmt w:val="decimal"/>
      <w:lvlText w:val="%7."/>
      <w:lvlJc w:val="left"/>
      <w:pPr>
        <w:ind w:left="5217" w:hanging="360"/>
      </w:pPr>
    </w:lvl>
    <w:lvl w:ilvl="7" w:tplc="08090019" w:tentative="1">
      <w:start w:val="1"/>
      <w:numFmt w:val="lowerLetter"/>
      <w:lvlText w:val="%8."/>
      <w:lvlJc w:val="left"/>
      <w:pPr>
        <w:ind w:left="5937" w:hanging="360"/>
      </w:pPr>
    </w:lvl>
    <w:lvl w:ilvl="8" w:tplc="08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5" w15:restartNumberingAfterBreak="0">
    <w:nsid w:val="2E496656"/>
    <w:multiLevelType w:val="multilevel"/>
    <w:tmpl w:val="6B6202A4"/>
    <w:lvl w:ilvl="0">
      <w:start w:val="1"/>
      <w:numFmt w:val="decimal"/>
      <w:lvlText w:val="(%1)"/>
      <w:lvlJc w:val="left"/>
      <w:pPr>
        <w:ind w:left="720" w:hanging="360"/>
      </w:pPr>
      <w:rPr>
        <w:rFonts w:ascii="Verdana" w:eastAsia="Times New Roman" w:hAnsi="Verdana" w:cs="Courier New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133050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072336"/>
    <w:multiLevelType w:val="multilevel"/>
    <w:tmpl w:val="EF7297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8732476">
    <w:abstractNumId w:val="7"/>
  </w:num>
  <w:num w:numId="2" w16cid:durableId="970600896">
    <w:abstractNumId w:val="5"/>
  </w:num>
  <w:num w:numId="3" w16cid:durableId="659046616">
    <w:abstractNumId w:val="6"/>
  </w:num>
  <w:num w:numId="4" w16cid:durableId="827549670">
    <w:abstractNumId w:val="3"/>
  </w:num>
  <w:num w:numId="5" w16cid:durableId="634021067">
    <w:abstractNumId w:val="2"/>
  </w:num>
  <w:num w:numId="6" w16cid:durableId="1195459650">
    <w:abstractNumId w:val="1"/>
  </w:num>
  <w:num w:numId="7" w16cid:durableId="513885026">
    <w:abstractNumId w:val="0"/>
  </w:num>
  <w:num w:numId="8" w16cid:durableId="1175537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tjAyNDM2AWJDAyUdpeDU4uLM/DyQAsNaAPg8XRUsAAAA"/>
  </w:docVars>
  <w:rsids>
    <w:rsidRoot w:val="00760BE5"/>
    <w:rsid w:val="000130FE"/>
    <w:rsid w:val="000B5449"/>
    <w:rsid w:val="000D689A"/>
    <w:rsid w:val="000E59EC"/>
    <w:rsid w:val="0012077C"/>
    <w:rsid w:val="00195678"/>
    <w:rsid w:val="001D2CFD"/>
    <w:rsid w:val="001D7BE6"/>
    <w:rsid w:val="002F2B50"/>
    <w:rsid w:val="004F1507"/>
    <w:rsid w:val="00580BF9"/>
    <w:rsid w:val="005D5FF9"/>
    <w:rsid w:val="0060536E"/>
    <w:rsid w:val="00666A05"/>
    <w:rsid w:val="00697046"/>
    <w:rsid w:val="006D77DD"/>
    <w:rsid w:val="007439C0"/>
    <w:rsid w:val="00760BE5"/>
    <w:rsid w:val="007B201D"/>
    <w:rsid w:val="007C7F46"/>
    <w:rsid w:val="007D18B2"/>
    <w:rsid w:val="008330F2"/>
    <w:rsid w:val="008F4656"/>
    <w:rsid w:val="00945C04"/>
    <w:rsid w:val="00960C27"/>
    <w:rsid w:val="00963FBC"/>
    <w:rsid w:val="009E28DD"/>
    <w:rsid w:val="00A1504E"/>
    <w:rsid w:val="00AA792F"/>
    <w:rsid w:val="00AB665F"/>
    <w:rsid w:val="00AC7E83"/>
    <w:rsid w:val="00AF6077"/>
    <w:rsid w:val="00BD0CBD"/>
    <w:rsid w:val="00D242DF"/>
    <w:rsid w:val="00D75438"/>
    <w:rsid w:val="00DB5B8B"/>
    <w:rsid w:val="00F77186"/>
    <w:rsid w:val="00F91B30"/>
    <w:rsid w:val="00F9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53B5"/>
  <w15:docId w15:val="{E21E66C9-762B-427C-B234-A1B811B5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character" w:customStyle="1" w:styleId="WW8Num5z0">
    <w:name w:val="WW8Num5z0"/>
    <w:qFormat/>
    <w:rsid w:val="00F9533F"/>
    <w:rPr>
      <w:rFonts w:ascii="Verdana" w:eastAsia="Times New Roman" w:hAnsi="Verdana" w:cs="Courier New"/>
      <w:sz w:val="20"/>
      <w:szCs w:val="20"/>
      <w:lang w:eastAsia="pl-PL"/>
    </w:rPr>
  </w:style>
  <w:style w:type="character" w:customStyle="1" w:styleId="WW8Num5z1">
    <w:name w:val="WW8Num5z1"/>
    <w:qFormat/>
    <w:rsid w:val="00F9533F"/>
  </w:style>
  <w:style w:type="character" w:customStyle="1" w:styleId="WW8Num5z2">
    <w:name w:val="WW8Num5z2"/>
    <w:qFormat/>
    <w:rsid w:val="00F9533F"/>
  </w:style>
  <w:style w:type="character" w:customStyle="1" w:styleId="WW8Num5z3">
    <w:name w:val="WW8Num5z3"/>
    <w:qFormat/>
    <w:rsid w:val="00F9533F"/>
  </w:style>
  <w:style w:type="character" w:customStyle="1" w:styleId="WW8Num5z4">
    <w:name w:val="WW8Num5z4"/>
    <w:qFormat/>
    <w:rsid w:val="00F9533F"/>
  </w:style>
  <w:style w:type="character" w:customStyle="1" w:styleId="WW8Num5z5">
    <w:name w:val="WW8Num5z5"/>
    <w:qFormat/>
    <w:rsid w:val="00F9533F"/>
  </w:style>
  <w:style w:type="character" w:customStyle="1" w:styleId="WW8Num5z6">
    <w:name w:val="WW8Num5z6"/>
    <w:qFormat/>
    <w:rsid w:val="00F9533F"/>
  </w:style>
  <w:style w:type="character" w:customStyle="1" w:styleId="WW8Num5z7">
    <w:name w:val="WW8Num5z7"/>
    <w:qFormat/>
    <w:rsid w:val="00F9533F"/>
  </w:style>
  <w:style w:type="character" w:customStyle="1" w:styleId="WW8Num5z8">
    <w:name w:val="WW8Num5z8"/>
    <w:qFormat/>
    <w:rsid w:val="00F9533F"/>
  </w:style>
  <w:style w:type="character" w:customStyle="1" w:styleId="WW8Num4z0">
    <w:name w:val="WW8Num4z0"/>
    <w:qFormat/>
    <w:rsid w:val="00F9533F"/>
    <w:rPr>
      <w:rFonts w:ascii="Verdana" w:hAnsi="Verdana" w:cs="Verdana"/>
      <w:sz w:val="20"/>
      <w:szCs w:val="20"/>
      <w:lang w:val="en-US"/>
    </w:rPr>
  </w:style>
  <w:style w:type="character" w:customStyle="1" w:styleId="WW8Num4z1">
    <w:name w:val="WW8Num4z1"/>
    <w:qFormat/>
    <w:rsid w:val="00F9533F"/>
  </w:style>
  <w:style w:type="character" w:customStyle="1" w:styleId="WW8Num4z2">
    <w:name w:val="WW8Num4z2"/>
    <w:qFormat/>
    <w:rsid w:val="00F9533F"/>
  </w:style>
  <w:style w:type="character" w:customStyle="1" w:styleId="WW8Num4z3">
    <w:name w:val="WW8Num4z3"/>
    <w:qFormat/>
    <w:rsid w:val="00F9533F"/>
  </w:style>
  <w:style w:type="character" w:customStyle="1" w:styleId="WW8Num4z4">
    <w:name w:val="WW8Num4z4"/>
    <w:qFormat/>
    <w:rsid w:val="00F9533F"/>
  </w:style>
  <w:style w:type="character" w:customStyle="1" w:styleId="WW8Num4z5">
    <w:name w:val="WW8Num4z5"/>
    <w:qFormat/>
    <w:rsid w:val="00F9533F"/>
  </w:style>
  <w:style w:type="character" w:customStyle="1" w:styleId="WW8Num4z6">
    <w:name w:val="WW8Num4z6"/>
    <w:qFormat/>
    <w:rsid w:val="00F9533F"/>
  </w:style>
  <w:style w:type="character" w:customStyle="1" w:styleId="WW8Num4z7">
    <w:name w:val="WW8Num4z7"/>
    <w:qFormat/>
    <w:rsid w:val="00F9533F"/>
  </w:style>
  <w:style w:type="character" w:customStyle="1" w:styleId="WW8Num4z8">
    <w:name w:val="WW8Num4z8"/>
    <w:qFormat/>
    <w:rsid w:val="00F9533F"/>
  </w:style>
  <w:style w:type="character" w:customStyle="1" w:styleId="WW8Num8z0">
    <w:name w:val="WW8Num8z0"/>
    <w:qFormat/>
    <w:rsid w:val="00F9533F"/>
    <w:rPr>
      <w:rFonts w:ascii="Verdana" w:hAnsi="Verdana" w:cs="Verdana"/>
      <w:sz w:val="20"/>
      <w:szCs w:val="20"/>
      <w:lang w:val="en-US"/>
    </w:rPr>
  </w:style>
  <w:style w:type="character" w:customStyle="1" w:styleId="WW8Num8z1">
    <w:name w:val="WW8Num8z1"/>
    <w:qFormat/>
    <w:rsid w:val="00F9533F"/>
  </w:style>
  <w:style w:type="character" w:customStyle="1" w:styleId="WW8Num8z2">
    <w:name w:val="WW8Num8z2"/>
    <w:qFormat/>
    <w:rsid w:val="00F9533F"/>
  </w:style>
  <w:style w:type="character" w:customStyle="1" w:styleId="WW8Num8z3">
    <w:name w:val="WW8Num8z3"/>
    <w:qFormat/>
    <w:rsid w:val="00F9533F"/>
  </w:style>
  <w:style w:type="character" w:customStyle="1" w:styleId="WW8Num8z4">
    <w:name w:val="WW8Num8z4"/>
    <w:qFormat/>
    <w:rsid w:val="00F9533F"/>
  </w:style>
  <w:style w:type="character" w:customStyle="1" w:styleId="WW8Num8z5">
    <w:name w:val="WW8Num8z5"/>
    <w:qFormat/>
    <w:rsid w:val="00F9533F"/>
  </w:style>
  <w:style w:type="character" w:customStyle="1" w:styleId="WW8Num8z6">
    <w:name w:val="WW8Num8z6"/>
    <w:qFormat/>
    <w:rsid w:val="00F9533F"/>
  </w:style>
  <w:style w:type="character" w:customStyle="1" w:styleId="WW8Num8z7">
    <w:name w:val="WW8Num8z7"/>
    <w:qFormat/>
    <w:rsid w:val="00F9533F"/>
  </w:style>
  <w:style w:type="character" w:customStyle="1" w:styleId="WW8Num8z8">
    <w:name w:val="WW8Num8z8"/>
    <w:qFormat/>
    <w:rsid w:val="00F9533F"/>
  </w:style>
  <w:style w:type="paragraph" w:styleId="Nagwek">
    <w:name w:val="header"/>
    <w:basedOn w:val="Normalny"/>
    <w:next w:val="Tekstpodstawowy"/>
    <w:qFormat/>
    <w:rsid w:val="00F953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9533F"/>
    <w:pPr>
      <w:spacing w:after="140" w:line="276" w:lineRule="auto"/>
    </w:pPr>
  </w:style>
  <w:style w:type="paragraph" w:styleId="Lista">
    <w:name w:val="List"/>
    <w:basedOn w:val="Tekstpodstawowy"/>
    <w:rsid w:val="00F9533F"/>
    <w:rPr>
      <w:rFonts w:cs="Arial"/>
    </w:rPr>
  </w:style>
  <w:style w:type="paragraph" w:styleId="Legenda">
    <w:name w:val="caption"/>
    <w:basedOn w:val="Normalny"/>
    <w:qFormat/>
    <w:rsid w:val="00F953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33F"/>
    <w:pPr>
      <w:suppressLineNumbers/>
    </w:pPr>
    <w:rPr>
      <w:rFonts w:cs="Arial"/>
    </w:rPr>
  </w:style>
  <w:style w:type="numbering" w:customStyle="1" w:styleId="WW8Num5">
    <w:name w:val="WW8Num5"/>
    <w:qFormat/>
    <w:rsid w:val="00F9533F"/>
  </w:style>
  <w:style w:type="numbering" w:customStyle="1" w:styleId="WW8Num4">
    <w:name w:val="WW8Num4"/>
    <w:qFormat/>
    <w:rsid w:val="00F9533F"/>
  </w:style>
  <w:style w:type="numbering" w:customStyle="1" w:styleId="WW8Num8">
    <w:name w:val="WW8Num8"/>
    <w:qFormat/>
    <w:rsid w:val="00F9533F"/>
  </w:style>
  <w:style w:type="paragraph" w:styleId="Akapitzlist">
    <w:name w:val="List Paragraph"/>
    <w:basedOn w:val="Normalny"/>
    <w:uiPriority w:val="34"/>
    <w:qFormat/>
    <w:rsid w:val="0058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18</cp:revision>
  <dcterms:created xsi:type="dcterms:W3CDTF">2019-04-19T11:10:00Z</dcterms:created>
  <dcterms:modified xsi:type="dcterms:W3CDTF">2024-01-31T17:37:00Z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