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A7B29" w:rsidR="00A56FEA" w:rsidRDefault="007B6C57" w14:paraId="502F2ECD" wp14:textId="77777777">
      <w:pPr>
        <w:spacing w:after="0" w:line="240" w:lineRule="auto"/>
        <w:ind w:right="283" w:firstLine="6946"/>
        <w:rPr>
          <w:rFonts w:ascii="Verdana" w:hAnsi="Verdana" w:eastAsia="Verdana" w:cs="Verdana"/>
          <w:sz w:val="16"/>
          <w:lang w:val="en-GB"/>
        </w:rPr>
      </w:pPr>
      <w:r w:rsidRPr="005A7B29">
        <w:rPr>
          <w:rFonts w:ascii="Verdana" w:hAnsi="Verdana" w:eastAsia="Verdana" w:cs="Verdana"/>
          <w:sz w:val="16"/>
          <w:lang w:val="en-GB"/>
        </w:rPr>
        <w:t>Annex No. 5</w:t>
      </w:r>
    </w:p>
    <w:p xmlns:wp14="http://schemas.microsoft.com/office/word/2010/wordml" w:rsidRPr="005A7B29" w:rsidR="00A56FEA" w:rsidRDefault="007B6C57" w14:paraId="0970AFA4" wp14:textId="77777777">
      <w:pPr>
        <w:spacing w:after="0" w:line="240" w:lineRule="auto"/>
        <w:ind w:left="6946" w:right="283"/>
        <w:rPr>
          <w:rFonts w:ascii="Verdana" w:hAnsi="Verdana" w:eastAsia="Verdana" w:cs="Verdana"/>
          <w:sz w:val="16"/>
          <w:lang w:val="en-GB"/>
        </w:rPr>
      </w:pPr>
      <w:r w:rsidRPr="005A7B29">
        <w:rPr>
          <w:rFonts w:ascii="Verdana" w:hAnsi="Verdana" w:eastAsia="Verdana" w:cs="Verdana"/>
          <w:sz w:val="16"/>
          <w:lang w:val="en-GB"/>
        </w:rPr>
        <w:t xml:space="preserve">to Ordinance No. 21/2019 </w:t>
      </w:r>
    </w:p>
    <w:p xmlns:wp14="http://schemas.microsoft.com/office/word/2010/wordml" w:rsidRPr="005A7B29" w:rsidR="00A56FEA" w:rsidRDefault="00A56FEA" w14:paraId="672A6659" wp14:textId="77777777">
      <w:pPr>
        <w:spacing w:after="0" w:line="240" w:lineRule="auto"/>
        <w:ind w:firstLine="6946"/>
        <w:rPr>
          <w:rFonts w:ascii="Verdana" w:hAnsi="Verdana" w:eastAsia="Verdana" w:cs="Verdana"/>
          <w:sz w:val="20"/>
          <w:lang w:val="en-GB"/>
        </w:rPr>
      </w:pPr>
      <w:bookmarkStart w:name="_GoBack" w:id="0"/>
      <w:bookmarkEnd w:id="0"/>
    </w:p>
    <w:p xmlns:wp14="http://schemas.microsoft.com/office/word/2010/wordml" w:rsidR="00A56FEA" w:rsidP="00B66D2E" w:rsidRDefault="007B6C57" w14:paraId="30FE18EA" wp14:textId="77777777">
      <w:pPr>
        <w:spacing w:line="256" w:lineRule="auto"/>
        <w:ind w:left="-426" w:firstLine="284"/>
        <w:jc w:val="center"/>
        <w:rPr>
          <w:rFonts w:ascii="Verdana" w:hAnsi="Verdana" w:eastAsia="Verdana" w:cs="Verdana"/>
          <w:b/>
          <w:sz w:val="20"/>
          <w:lang w:val="en-GB"/>
        </w:rPr>
      </w:pPr>
      <w:r w:rsidRPr="005A7B29">
        <w:rPr>
          <w:rFonts w:ascii="Verdana" w:hAnsi="Verdana" w:eastAsia="Verdana" w:cs="Verdana"/>
          <w:b/>
          <w:sz w:val="20"/>
          <w:lang w:val="en-GB"/>
        </w:rPr>
        <w:t>COURSE/MODULE SYLLABUS FOR UNIVERSITY COURSES/PhD STUDIES</w:t>
      </w:r>
    </w:p>
    <w:p xmlns:wp14="http://schemas.microsoft.com/office/word/2010/wordml" w:rsidRPr="00E55236" w:rsidR="00E55236" w:rsidP="00E55236" w:rsidRDefault="00E55236" w14:paraId="0A37501D" wp14:textId="77777777">
      <w:pPr>
        <w:spacing w:after="0" w:line="240" w:lineRule="auto"/>
        <w:ind w:left="-425" w:firstLine="284"/>
        <w:jc w:val="center"/>
        <w:rPr>
          <w:rFonts w:ascii="Verdana" w:hAnsi="Verdana" w:eastAsia="Verdana" w:cs="Verdana"/>
          <w:sz w:val="20"/>
          <w:lang w:val="en-GB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E30CB6" w:rsidR="00E30CB6" w:rsidTr="79944334" w14:paraId="0AB247A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5DAB6C7B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7C7D15" w:rsidRDefault="00E30CB6" w14:paraId="751ABB5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Pr="00E30CB6" w:rsidR="00E30CB6" w:rsidP="007C7D15" w:rsidRDefault="00E30CB6" w14:paraId="5F5493B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A7B29">
              <w:rPr>
                <w:rFonts w:ascii="Verdana" w:hAnsi="Verdana"/>
                <w:bCs/>
                <w:sz w:val="20"/>
                <w:szCs w:val="20"/>
              </w:rPr>
              <w:t>Trace</w:t>
            </w:r>
            <w:proofErr w:type="spellEnd"/>
            <w:r w:rsidRPr="005A7B29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5A7B29">
              <w:rPr>
                <w:rFonts w:ascii="Verdana" w:hAnsi="Verdana"/>
                <w:bCs/>
                <w:sz w:val="20"/>
                <w:szCs w:val="20"/>
              </w:rPr>
              <w:t>fossils</w:t>
            </w:r>
            <w:proofErr w:type="spellEnd"/>
            <w:r w:rsidRPr="005A7B29">
              <w:rPr>
                <w:rFonts w:ascii="Verdana" w:hAnsi="Verdana"/>
                <w:bCs/>
                <w:sz w:val="20"/>
                <w:szCs w:val="20"/>
              </w:rPr>
              <w:t xml:space="preserve"> and </w:t>
            </w:r>
            <w:proofErr w:type="spellStart"/>
            <w:r w:rsidRPr="005A7B29">
              <w:rPr>
                <w:rFonts w:ascii="Verdana" w:hAnsi="Verdana"/>
                <w:bCs/>
                <w:sz w:val="20"/>
                <w:szCs w:val="20"/>
              </w:rPr>
              <w:t>their</w:t>
            </w:r>
            <w:proofErr w:type="spellEnd"/>
            <w:r w:rsidRPr="005A7B29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5A7B29">
              <w:rPr>
                <w:rFonts w:ascii="Verdana" w:hAnsi="Verdana"/>
                <w:bCs/>
                <w:sz w:val="20"/>
                <w:szCs w:val="20"/>
              </w:rPr>
              <w:t>palaeoenvironmental</w:t>
            </w:r>
            <w:proofErr w:type="spellEnd"/>
            <w:r w:rsidRPr="005A7B29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5A7B29">
              <w:rPr>
                <w:rFonts w:ascii="Verdana" w:hAnsi="Verdana"/>
                <w:bCs/>
                <w:sz w:val="20"/>
                <w:szCs w:val="20"/>
              </w:rPr>
              <w:t>significance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 w:eastAsia="Verdana" w:cs="Verdana"/>
                <w:sz w:val="20"/>
              </w:rPr>
              <w:t xml:space="preserve"> Skamieniałości śladowe i ich znaczenie dla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paleośrodowiska</w:t>
            </w:r>
            <w:proofErr w:type="spellEnd"/>
          </w:p>
        </w:tc>
      </w:tr>
      <w:tr xmlns:wp14="http://schemas.microsoft.com/office/word/2010/wordml" w:rsidRPr="00E30CB6" w:rsidR="00E30CB6" w:rsidTr="79944334" w14:paraId="5D9F73B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0CB6" w:rsidR="00E30CB6" w:rsidP="00E30CB6" w:rsidRDefault="00E30CB6" w14:paraId="02EB378F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30CB6" w:rsidP="007C7D15" w:rsidRDefault="00E30CB6" w14:paraId="6A9A66C4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Discipline</w:t>
            </w:r>
          </w:p>
          <w:p w:rsidRPr="00864E2D" w:rsidR="00E30CB6" w:rsidP="007C7D15" w:rsidRDefault="00E30CB6" w14:paraId="43975C82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xmlns:wp14="http://schemas.microsoft.com/office/word/2010/wordml" w:rsidRPr="00864E2D" w:rsidR="00E30CB6" w:rsidTr="79944334" w14:paraId="6D13B74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6A05A809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30CB6" w:rsidP="007C7D15" w:rsidRDefault="00E30CB6" w14:paraId="3B3CB8A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Pr="00864E2D" w:rsidR="00E30CB6" w:rsidP="007C7D15" w:rsidRDefault="00E30CB6" w14:paraId="0A6CB2C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xmlns:wp14="http://schemas.microsoft.com/office/word/2010/wordml" w:rsidRPr="00E30CB6" w:rsidR="00E30CB6" w:rsidTr="79944334" w14:paraId="4BA8050E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30CB6" w:rsidP="00E30CB6" w:rsidRDefault="00E30CB6" w14:paraId="5A39BBE3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30CB6" w:rsidP="007C7D15" w:rsidRDefault="00E30CB6" w14:paraId="50ED651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Teaching unit</w:t>
            </w:r>
          </w:p>
          <w:p w:rsidRPr="00E30CB6" w:rsidR="00E30CB6" w:rsidP="007C7D15" w:rsidRDefault="00E30CB6" w14:paraId="0A617D9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30CB6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and Environmental Management,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</w:p>
        </w:tc>
      </w:tr>
      <w:tr xmlns:wp14="http://schemas.microsoft.com/office/word/2010/wordml" w:rsidRPr="00864E2D" w:rsidR="00E30CB6" w:rsidTr="79944334" w14:paraId="5426240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0CB6" w:rsidR="00E30CB6" w:rsidP="00E30CB6" w:rsidRDefault="00E30CB6" w14:paraId="41C8F396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30CB6" w:rsidP="007C7D15" w:rsidRDefault="00E30CB6" w14:paraId="5FDE670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Pr="00864E2D" w:rsidR="00E30CB6" w:rsidP="007C7D15" w:rsidRDefault="00E30CB6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9C206A" w:rsidR="00E30CB6" w:rsidTr="79944334" w14:paraId="5B82B48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30CB6" w:rsidP="00E30CB6" w:rsidRDefault="00E30CB6" w14:paraId="72A3D3EC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7C7D15" w:rsidRDefault="00E30CB6" w14:paraId="012AB26A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Pr="009C206A" w:rsidR="00E30CB6" w:rsidP="007C7D15" w:rsidRDefault="00E30CB6" w14:paraId="7911F24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xmlns:wp14="http://schemas.microsoft.com/office/word/2010/wordml" w:rsidRPr="009C206A" w:rsidR="00E30CB6" w:rsidTr="79944334" w14:paraId="56B6161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0D0B940D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7C7D15" w:rsidRDefault="00E30CB6" w14:paraId="487B3F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Pr="009C206A" w:rsidR="00E30CB6" w:rsidP="007C7D15" w:rsidRDefault="00E30CB6" w14:paraId="3DEEECC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C2EA2">
              <w:rPr>
                <w:rFonts w:ascii="Verdana" w:hAnsi="Verdana"/>
                <w:sz w:val="20"/>
                <w:szCs w:val="20"/>
                <w:lang w:val="en-US"/>
              </w:rPr>
              <w:t>Geology</w:t>
            </w:r>
          </w:p>
        </w:tc>
      </w:tr>
      <w:tr xmlns:wp14="http://schemas.microsoft.com/office/word/2010/wordml" w:rsidRPr="009C206A" w:rsidR="00E30CB6" w:rsidTr="79944334" w14:paraId="48C53AF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0E27B00A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7C7D15" w:rsidRDefault="00E30CB6" w14:paraId="0F589398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Pr="00D65D15" w:rsidR="00E30CB6" w:rsidP="007C7D15" w:rsidRDefault="00E30CB6" w14:paraId="30756173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D65D1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xmlns:wp14="http://schemas.microsoft.com/office/word/2010/wordml" w:rsidRPr="009C206A" w:rsidR="00E30CB6" w:rsidTr="79944334" w14:paraId="3723FDC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60061E4C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7C7D15" w:rsidRDefault="00E30CB6" w14:paraId="645744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)</w:t>
            </w:r>
          </w:p>
          <w:p w:rsidRPr="009C206A" w:rsidR="00E30CB6" w:rsidP="007C7D15" w:rsidRDefault="00E30CB6" w14:paraId="7DA9D3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I/II</w:t>
            </w:r>
          </w:p>
        </w:tc>
      </w:tr>
      <w:tr xmlns:wp14="http://schemas.microsoft.com/office/word/2010/wordml" w:rsidRPr="00864E2D" w:rsidR="00E30CB6" w:rsidTr="79944334" w14:paraId="52C7D11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44EAFD9C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30CB6" w:rsidP="007C7D15" w:rsidRDefault="00E30CB6" w14:paraId="0DEBF782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Pr="00864E2D" w:rsidR="00E30CB6" w:rsidP="007C7D15" w:rsidRDefault="00E30CB6" w14:paraId="3440A904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xmlns:wp14="http://schemas.microsoft.com/office/word/2010/wordml" w:rsidRPr="00E30CB6" w:rsidR="00E30CB6" w:rsidTr="79944334" w14:paraId="1040153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30CB6" w:rsidP="00E30CB6" w:rsidRDefault="00E30CB6" w14:paraId="4B94D5A5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30CB6" w:rsidP="007C7D15" w:rsidRDefault="00E30CB6" w14:paraId="344B5825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E30CB6" w:rsidP="007C7D15" w:rsidRDefault="00E30CB6" w14:paraId="4EE67373" wp14:textId="77777777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Lectures: </w:t>
            </w: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2</w:t>
            </w:r>
            <w:r>
              <w:rPr>
                <w:rStyle w:val="shorttext"/>
                <w:lang w:val="en"/>
              </w:rPr>
              <w:t>6</w:t>
            </w:r>
          </w:p>
          <w:p w:rsidR="00E30CB6" w:rsidP="007C7D15" w:rsidRDefault="00E30CB6" w14:paraId="511CC707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Teaching methods</w:t>
            </w: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:</w:t>
            </w:r>
          </w:p>
          <w:p w:rsidRPr="00E30CB6" w:rsidR="00E30CB6" w:rsidP="007C7D15" w:rsidRDefault="00E30CB6" w14:paraId="6BDABFB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30CB6">
              <w:rPr>
                <w:rFonts w:ascii="Verdana" w:hAnsi="Verdana"/>
                <w:sz w:val="20"/>
                <w:szCs w:val="20"/>
                <w:lang w:val="en-GB"/>
              </w:rPr>
              <w:t>Multimedia lecture, presentation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xmlns:wp14="http://schemas.microsoft.com/office/word/2010/wordml" w:rsidRPr="009C206A" w:rsidR="00E30CB6" w:rsidTr="79944334" w14:paraId="4CB08B9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0CB6" w:rsidR="00E30CB6" w:rsidP="00E30CB6" w:rsidRDefault="00E30CB6" w14:paraId="3DEEC669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7C7D15" w:rsidRDefault="00E30CB6" w14:paraId="30B54D1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E30CB6" w:rsidP="007C7D15" w:rsidRDefault="00E30CB6" w14:paraId="1D3EE0E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Alina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Chrząstek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Phd</w:t>
            </w:r>
            <w:proofErr w:type="spellEnd"/>
          </w:p>
          <w:p w:rsidRPr="009C206A" w:rsidR="00E30CB6" w:rsidP="007C7D15" w:rsidRDefault="00E30CB6" w14:paraId="6018787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Alina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Chrząstek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Phd</w:t>
            </w:r>
            <w:proofErr w:type="spellEnd"/>
          </w:p>
        </w:tc>
      </w:tr>
      <w:tr xmlns:wp14="http://schemas.microsoft.com/office/word/2010/wordml" w:rsidRPr="00E30CB6" w:rsidR="00E30CB6" w:rsidTr="79944334" w14:paraId="6E8FB24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3656B9AB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7C7D15" w:rsidRDefault="00E30CB6" w14:paraId="0A34AE5A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Pr="009C206A" w:rsidR="00E30CB6" w:rsidP="007C7D15" w:rsidRDefault="00E30CB6" w14:paraId="325C1C7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BA0154">
              <w:rPr>
                <w:rFonts w:ascii="Verdana" w:hAnsi="Verdana"/>
                <w:bCs/>
                <w:sz w:val="20"/>
                <w:szCs w:val="20"/>
              </w:rPr>
              <w:t>Main</w:t>
            </w:r>
            <w:proofErr w:type="spellEnd"/>
            <w:r w:rsidRPr="00BA015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BA0154">
              <w:rPr>
                <w:rFonts w:ascii="Verdana" w:hAnsi="Verdana"/>
                <w:bCs/>
                <w:sz w:val="20"/>
                <w:szCs w:val="20"/>
              </w:rPr>
              <w:t>knowledge</w:t>
            </w:r>
            <w:proofErr w:type="spellEnd"/>
            <w:r w:rsidRPr="00BA015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BA0154">
              <w:rPr>
                <w:rFonts w:ascii="Verdana" w:hAnsi="Verdana"/>
                <w:bCs/>
                <w:sz w:val="20"/>
                <w:szCs w:val="20"/>
              </w:rPr>
              <w:t>concerning</w:t>
            </w:r>
            <w:proofErr w:type="spellEnd"/>
            <w:r w:rsidRPr="00BA015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BA0154">
              <w:rPr>
                <w:rFonts w:ascii="Verdana" w:hAnsi="Verdana"/>
                <w:bCs/>
                <w:sz w:val="20"/>
                <w:szCs w:val="20"/>
              </w:rPr>
              <w:t>geology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E30CB6" w:rsidR="00E30CB6" w:rsidTr="79944334" w14:paraId="0EC7BF0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45FB0818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30CB6" w:rsidP="007C7D15" w:rsidRDefault="00E30CB6" w14:paraId="34A2CCB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 objectives</w:t>
            </w:r>
          </w:p>
          <w:p w:rsidRPr="00E30CB6" w:rsidR="00E30CB6" w:rsidP="007C7D15" w:rsidRDefault="00E30CB6" w14:paraId="6ADA723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0154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The aim of the lecture is presentation of the main </w:t>
            </w:r>
            <w:proofErr w:type="spellStart"/>
            <w:r w:rsidRPr="00BA0154">
              <w:rPr>
                <w:rFonts w:ascii="Verdana" w:hAnsi="Verdana"/>
                <w:bCs/>
                <w:sz w:val="20"/>
                <w:szCs w:val="20"/>
                <w:lang w:val="en-US"/>
              </w:rPr>
              <w:t>ichnofacies</w:t>
            </w:r>
            <w:proofErr w:type="spellEnd"/>
            <w:r w:rsidRPr="00BA0154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and common trace fossils and their usefulness to reconstruction of the sedimentary conditions and </w:t>
            </w:r>
            <w:proofErr w:type="spellStart"/>
            <w:r w:rsidRPr="00BA0154">
              <w:rPr>
                <w:rFonts w:ascii="Verdana" w:hAnsi="Verdana"/>
                <w:bCs/>
                <w:sz w:val="20"/>
                <w:szCs w:val="20"/>
                <w:lang w:val="en-US"/>
              </w:rPr>
              <w:t>palaeoenvironments</w:t>
            </w:r>
            <w:proofErr w:type="spellEnd"/>
            <w:r w:rsidRPr="00BA0154">
              <w:rPr>
                <w:rFonts w:ascii="Verdana" w:hAnsi="Verdana"/>
                <w:bCs/>
                <w:sz w:val="20"/>
                <w:szCs w:val="20"/>
                <w:lang w:val="en-US"/>
              </w:rPr>
              <w:t>.</w:t>
            </w:r>
          </w:p>
        </w:tc>
      </w:tr>
      <w:tr xmlns:wp14="http://schemas.microsoft.com/office/word/2010/wordml" w:rsidRPr="00864E2D" w:rsidR="00E30CB6" w:rsidTr="79944334" w14:paraId="1B4A06AC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0CB6" w:rsidR="00E30CB6" w:rsidP="00E30CB6" w:rsidRDefault="00E30CB6" w14:paraId="049F31CB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0CB6" w:rsidR="00E30CB6" w:rsidP="007C7D15" w:rsidRDefault="00E30CB6" w14:paraId="67C0A283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 content</w:t>
            </w:r>
          </w:p>
          <w:p w:rsidRPr="005A7B29" w:rsidR="00E30CB6" w:rsidP="00E30CB6" w:rsidRDefault="00E30CB6" w14:paraId="33984175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lang w:val="en-GB"/>
              </w:rPr>
              <w:t>Lectures:</w:t>
            </w:r>
          </w:p>
          <w:p w:rsidRPr="00864E2D" w:rsidR="00E30CB6" w:rsidP="00E30CB6" w:rsidRDefault="00E30CB6" w14:paraId="53A426D0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Definition of the trace fossils. Ethological division of the trace fossils into different categories. Main </w:t>
            </w:r>
            <w:proofErr w:type="spellStart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tracemakers</w:t>
            </w:r>
            <w:proofErr w:type="spellEnd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of the trace fossils.</w:t>
            </w:r>
            <w:r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</w:t>
            </w:r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The historical background of ichnology.</w:t>
            </w:r>
            <w:r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</w:t>
            </w:r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Characteristic of the main </w:t>
            </w:r>
            <w:proofErr w:type="spellStart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Seilacherian</w:t>
            </w:r>
            <w:proofErr w:type="spellEnd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</w:t>
            </w:r>
            <w:proofErr w:type="spellStart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ichnofacies</w:t>
            </w:r>
            <w:proofErr w:type="spellEnd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(continental, shallow-marine and deep-marine). </w:t>
            </w:r>
            <w:proofErr w:type="spellStart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Ichnodiversity</w:t>
            </w:r>
            <w:proofErr w:type="spellEnd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of the trace fossils in various </w:t>
            </w:r>
            <w:proofErr w:type="spellStart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ichnofacies</w:t>
            </w:r>
            <w:proofErr w:type="spellEnd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.</w:t>
            </w:r>
            <w:r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</w:t>
            </w:r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Description of the common </w:t>
            </w:r>
            <w:proofErr w:type="spellStart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ichnotaxa</w:t>
            </w:r>
            <w:proofErr w:type="spellEnd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. </w:t>
            </w:r>
            <w:proofErr w:type="spellStart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Informations</w:t>
            </w:r>
            <w:proofErr w:type="spellEnd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concerning trace makers of the burrows and their paleoenvironmental requirements.</w:t>
            </w:r>
            <w:r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</w:t>
            </w:r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Usefulness of the trace fossils to the </w:t>
            </w:r>
            <w:proofErr w:type="spellStart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palaeoenvironmental</w:t>
            </w:r>
            <w:proofErr w:type="spellEnd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reconstructions (bathymetry, energy of water, oxygenation level and salinity, sedimentary rate, character of the substrate).</w:t>
            </w:r>
            <w:r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</w:t>
            </w:r>
            <w:proofErr w:type="spellStart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Ichnological</w:t>
            </w:r>
            <w:proofErr w:type="spellEnd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analysis. Examples of </w:t>
            </w:r>
            <w:proofErr w:type="spellStart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ichnological</w:t>
            </w:r>
            <w:proofErr w:type="spellEnd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analysis from different regions from </w:t>
            </w:r>
            <w:smartTag w:uri="urn:schemas-microsoft-com:office:smarttags" w:element="country-region">
              <w:r w:rsidRPr="00F1098F">
                <w:rPr>
                  <w:rFonts w:ascii="Verdana" w:hAnsi="Verdana" w:eastAsia="Times New Roman" w:cs="Times New Roman"/>
                  <w:sz w:val="20"/>
                  <w:szCs w:val="24"/>
                  <w:lang w:val="en-US" w:eastAsia="zh-CN"/>
                </w:rPr>
                <w:t>Poland</w:t>
              </w:r>
            </w:smartTag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(</w:t>
            </w:r>
            <w:proofErr w:type="spellStart"/>
            <w:smartTag w:uri="urn:schemas-microsoft-com:office:smarttags" w:element="PlaceName">
              <w:r w:rsidRPr="00F1098F">
                <w:rPr>
                  <w:rFonts w:ascii="Verdana" w:hAnsi="Verdana" w:eastAsia="Times New Roman" w:cs="Times New Roman"/>
                  <w:sz w:val="20"/>
                  <w:szCs w:val="24"/>
                  <w:lang w:val="en-US" w:eastAsia="zh-CN"/>
                </w:rPr>
                <w:t>Sudety</w:t>
              </w:r>
            </w:smartTag>
            <w:proofErr w:type="spellEnd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</w:t>
            </w:r>
            <w:smartTag w:uri="urn:schemas-microsoft-com:office:smarttags" w:element="PlaceType">
              <w:r w:rsidRPr="00F1098F">
                <w:rPr>
                  <w:rFonts w:ascii="Verdana" w:hAnsi="Verdana" w:eastAsia="Times New Roman" w:cs="Times New Roman"/>
                  <w:sz w:val="20"/>
                  <w:szCs w:val="24"/>
                  <w:lang w:val="en-US" w:eastAsia="zh-CN"/>
                </w:rPr>
                <w:t>Mountains</w:t>
              </w:r>
            </w:smartTag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) and </w:t>
            </w:r>
            <w:smartTag w:uri="urn:schemas-microsoft-com:office:smarttags" w:element="place">
              <w:r w:rsidRPr="00F1098F">
                <w:rPr>
                  <w:rFonts w:ascii="Verdana" w:hAnsi="Verdana" w:eastAsia="Times New Roman" w:cs="Times New Roman"/>
                  <w:sz w:val="20"/>
                  <w:szCs w:val="24"/>
                  <w:lang w:val="en-US" w:eastAsia="zh-CN"/>
                </w:rPr>
                <w:t>Europe</w:t>
              </w:r>
            </w:smartTag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or other countries.</w:t>
            </w:r>
            <w:r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</w:t>
            </w:r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Vertebrate traces. The most interesting discoveries of vertebrate traces.</w:t>
            </w:r>
            <w:r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</w:t>
            </w:r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Colonization of the continental, brackish, shallow-marine and deep-marine environments by producers of the trace fossils. Phanerozoic history of the trace fossils, changes </w:t>
            </w:r>
            <w:proofErr w:type="spellStart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ichnotaxonomical</w:t>
            </w:r>
            <w:proofErr w:type="spellEnd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diversity in time.</w:t>
            </w:r>
            <w:r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</w:t>
            </w:r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The application of the invertebrate and vertebrate trace fossils to biostratigraphy – </w:t>
            </w:r>
            <w:proofErr w:type="spellStart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ichnostratigraphy</w:t>
            </w:r>
            <w:proofErr w:type="spellEnd"/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. Definition of the systems boundaries (Neoproterozoic-Cambrian boundary).</w:t>
            </w:r>
            <w:r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 </w:t>
            </w:r>
            <w:r w:rsidRPr="00F1098F"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>Changes in the trace fossil assemblages during 5 Mass-Extinction episodes (Latest Ordovician, Late Devonian, End-Permian, End-Triassic, End-Cretaceous Mass Extinctions)</w:t>
            </w:r>
            <w:r>
              <w:rPr>
                <w:rFonts w:ascii="Verdana" w:hAnsi="Verdana" w:eastAsia="Times New Roman" w:cs="Times New Roman"/>
                <w:sz w:val="20"/>
                <w:szCs w:val="24"/>
                <w:lang w:val="en-US" w:eastAsia="zh-CN"/>
              </w:rPr>
              <w:t xml:space="preserve">. </w:t>
            </w:r>
            <w:r w:rsidRPr="005A7B29">
              <w:rPr>
                <w:rFonts w:ascii="Verdana" w:hAnsi="Verdana"/>
                <w:sz w:val="20"/>
                <w:szCs w:val="20"/>
                <w:lang w:val="en-GB"/>
              </w:rPr>
              <w:t>Trace fossils in the well cores.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4222F">
              <w:rPr>
                <w:rFonts w:ascii="Verdana" w:hAnsi="Verdana"/>
                <w:sz w:val="20"/>
                <w:szCs w:val="20"/>
              </w:rPr>
              <w:t>Neoichnology</w:t>
            </w:r>
            <w:proofErr w:type="spellEnd"/>
            <w:r w:rsidRPr="0024222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E30CB6" w:rsidR="00E30CB6" w:rsidTr="79944334" w14:paraId="187A0F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30CB6" w:rsidP="00E30CB6" w:rsidRDefault="00E30CB6" w14:paraId="53128261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D6C25" w:rsidR="00E30CB6" w:rsidP="00E30CB6" w:rsidRDefault="00E30CB6" w14:paraId="5602ACB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D6C25">
              <w:rPr>
                <w:rFonts w:ascii="Verdana" w:hAnsi="Verdana"/>
                <w:sz w:val="20"/>
                <w:szCs w:val="20"/>
                <w:lang w:val="en-GB"/>
              </w:rPr>
              <w:t xml:space="preserve">Intended learning outcomes </w:t>
            </w:r>
          </w:p>
          <w:p w:rsidRPr="005A7B29" w:rsidR="00E30CB6" w:rsidP="00E30CB6" w:rsidRDefault="00E30CB6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5A7B29" w:rsidR="00E30CB6" w:rsidP="00E30CB6" w:rsidRDefault="00E30CB6" w14:paraId="481E7D7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W_1 Students have knowledge concerning trace fossils. They received also some </w:t>
            </w:r>
            <w:proofErr w:type="spellStart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>informations</w:t>
            </w:r>
            <w:proofErr w:type="spellEnd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 connecting with historical geology and sedimentology.</w:t>
            </w:r>
          </w:p>
          <w:p w:rsidRPr="005A7B29" w:rsidR="00E30CB6" w:rsidP="00E30CB6" w:rsidRDefault="00E30CB6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5A7B29" w:rsidR="00E30CB6" w:rsidP="00E30CB6" w:rsidRDefault="00E30CB6" w14:paraId="70D5999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W_2 Students know the modern methods of </w:t>
            </w:r>
            <w:proofErr w:type="spellStart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 analysis and are able to recognize the common trace fossils. They can use the trace fossils for reconstructions of continental, shallow- and deep-marine environments.</w:t>
            </w:r>
          </w:p>
          <w:p w:rsidRPr="005A7B29" w:rsidR="00E30CB6" w:rsidP="00E30CB6" w:rsidRDefault="00E30CB6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5A7B29" w:rsidR="00E30CB6" w:rsidP="00E30CB6" w:rsidRDefault="00E30CB6" w14:paraId="339DE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>W_3 They are able to interpret the sedimentary environment on the basis of trace fossils.</w:t>
            </w:r>
          </w:p>
          <w:p w:rsidRPr="005A7B29" w:rsidR="00E30CB6" w:rsidP="00E30CB6" w:rsidRDefault="00E30CB6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5A7B29" w:rsidR="00E30CB6" w:rsidP="00E30CB6" w:rsidRDefault="00E30CB6" w14:paraId="54F1C17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W_4 They have knowledge concerning geology of Poland (examples of the </w:t>
            </w:r>
            <w:proofErr w:type="spellStart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 analysis from the </w:t>
            </w:r>
            <w:proofErr w:type="spellStart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>Sudety</w:t>
            </w:r>
            <w:proofErr w:type="spellEnd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 Mountains).</w:t>
            </w:r>
          </w:p>
          <w:p w:rsidRPr="005A7B29" w:rsidR="00E30CB6" w:rsidP="00E30CB6" w:rsidRDefault="00E30CB6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5A7B29" w:rsidR="00E30CB6" w:rsidP="00E30CB6" w:rsidRDefault="00E30CB6" w14:paraId="62F3D16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W_5 Students known English </w:t>
            </w:r>
            <w:proofErr w:type="spellStart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 terminology.</w:t>
            </w:r>
          </w:p>
          <w:p w:rsidRPr="005A7B29" w:rsidR="00E30CB6" w:rsidP="00E30CB6" w:rsidRDefault="00E30CB6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5A7B29" w:rsidR="00E30CB6" w:rsidP="00E30CB6" w:rsidRDefault="00E30CB6" w14:paraId="1001EF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U_1 Students use the modern </w:t>
            </w:r>
            <w:proofErr w:type="spellStart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 models and </w:t>
            </w:r>
            <w:proofErr w:type="spellStart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 literature (in Polish and English) in aim to reconstruct the </w:t>
            </w:r>
            <w:proofErr w:type="spellStart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>palaeoenvironment</w:t>
            </w:r>
            <w:proofErr w:type="spellEnd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5A7B29" w:rsidR="00E30CB6" w:rsidP="00E30CB6" w:rsidRDefault="00E30CB6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5A7B29" w:rsidR="00E30CB6" w:rsidP="00E30CB6" w:rsidRDefault="00E30CB6" w14:paraId="091D9C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U_2 They can choose correct </w:t>
            </w:r>
            <w:proofErr w:type="spellStart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>informations</w:t>
            </w:r>
            <w:proofErr w:type="spellEnd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 that allow to recognize the trace fossils and establish sedimentary conditions. </w:t>
            </w:r>
          </w:p>
          <w:p w:rsidRPr="005A7B29" w:rsidR="00E30CB6" w:rsidP="00E30CB6" w:rsidRDefault="00E30CB6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5A7B29" w:rsidR="00E30CB6" w:rsidP="00E30CB6" w:rsidRDefault="00E30CB6" w14:paraId="59A4250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>K_1 Students understand the need of systematic study. Due to continuous development of science (ichnology), they understand the necessity to expand their knowledge.</w:t>
            </w:r>
          </w:p>
          <w:p w:rsidRPr="005A7B29" w:rsidR="00E30CB6" w:rsidP="00E30CB6" w:rsidRDefault="00E30CB6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5A7B29" w:rsidR="00E30CB6" w:rsidP="00E30CB6" w:rsidRDefault="00E30CB6" w14:paraId="73BCEB7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K_2 Students are able to establish the sequence of research concerning trace fossil assemblages, in aim to reconstruct the </w:t>
            </w:r>
            <w:proofErr w:type="spellStart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>palaeoenvironment</w:t>
            </w:r>
            <w:proofErr w:type="spellEnd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5A7B29" w:rsidR="00E30CB6" w:rsidP="00E30CB6" w:rsidRDefault="00E30CB6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5A7B29" w:rsidR="00E30CB6" w:rsidP="00E30CB6" w:rsidRDefault="00E30CB6" w14:paraId="4DD9FF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K_3 Students learn to use </w:t>
            </w:r>
            <w:proofErr w:type="spellStart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5A7B29">
              <w:rPr>
                <w:rFonts w:ascii="Verdana" w:hAnsi="Verdana"/>
                <w:sz w:val="20"/>
                <w:szCs w:val="20"/>
                <w:lang w:val="en-US"/>
              </w:rPr>
              <w:t xml:space="preserve"> literature (always the newest one) to reconstruct the sedimentary conditions.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A7B29" w:rsidR="00E30CB6" w:rsidP="00E30CB6" w:rsidRDefault="00E30CB6" w14:paraId="06EE950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i/>
                <w:sz w:val="20"/>
                <w:lang w:val="en-GB"/>
              </w:rPr>
            </w:pPr>
            <w:r w:rsidRPr="005A7B29">
              <w:rPr>
                <w:rFonts w:ascii="Verdana" w:hAnsi="Verdana" w:eastAsia="Verdana" w:cs="Verdana"/>
                <w:sz w:val="20"/>
                <w:lang w:val="en-GB"/>
              </w:rPr>
              <w:t>Symbols of learning outcomes for particular fields of studies</w:t>
            </w:r>
            <w:r>
              <w:rPr>
                <w:rFonts w:ascii="Verdana" w:hAnsi="Verdana" w:eastAsia="Verdana" w:cs="Verdana"/>
                <w:sz w:val="20"/>
                <w:lang w:val="en-GB"/>
              </w:rPr>
              <w:t>:</w:t>
            </w:r>
          </w:p>
          <w:p w:rsidRPr="00554D35" w:rsidR="00E30CB6" w:rsidP="00E30CB6" w:rsidRDefault="00E30CB6" w14:paraId="6CD95589" wp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</w:pPr>
            <w:r w:rsidRPr="00554D35"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>K</w:t>
            </w:r>
            <w:r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>2</w:t>
            </w:r>
            <w:r w:rsidRPr="00554D35"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>_W01; K</w:t>
            </w:r>
            <w:r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>2</w:t>
            </w:r>
            <w:r w:rsidRPr="00554D35"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>_W08</w:t>
            </w:r>
          </w:p>
          <w:p w:rsidR="00E30CB6" w:rsidP="00E30CB6" w:rsidRDefault="00E30CB6" w14:paraId="34CE0A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E30CB6" w:rsidP="00E30CB6" w:rsidRDefault="00E30CB6" w14:paraId="62EBF3C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E30CB6" w:rsidP="00E30CB6" w:rsidRDefault="00E30CB6" w14:paraId="6D98A12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E30CB6" w:rsidP="00E30CB6" w:rsidRDefault="00E30CB6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Pr="00554D35" w:rsidR="00E30CB6" w:rsidP="00E30CB6" w:rsidRDefault="00E30CB6" w14:paraId="385C5690" wp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</w:pPr>
            <w:r w:rsidRPr="00554D35"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>K</w:t>
            </w:r>
            <w:r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>2</w:t>
            </w:r>
            <w:r w:rsidRPr="00554D35"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>_W03</w:t>
            </w:r>
          </w:p>
          <w:p w:rsidR="00E30CB6" w:rsidP="00E30CB6" w:rsidRDefault="00E30CB6" w14:paraId="5997CC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E30CB6" w:rsidP="00E30CB6" w:rsidRDefault="00E30CB6" w14:paraId="110FFD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E30CB6" w:rsidP="00E30CB6" w:rsidRDefault="00E30CB6" w14:paraId="6B6993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E30CB6" w:rsidP="00E30CB6" w:rsidRDefault="00E30CB6" w14:paraId="3FE9F2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E30CB6" w:rsidP="00E30CB6" w:rsidRDefault="00E30CB6" w14:paraId="1F72F6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E30CB6" w:rsidP="00E30CB6" w:rsidRDefault="00E30CB6" w14:paraId="08CE6F9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Pr="00554D35" w:rsidR="00E30CB6" w:rsidP="00E30CB6" w:rsidRDefault="00E30CB6" w14:paraId="7B18443E" wp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</w:pPr>
            <w:r w:rsidRPr="00554D35"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>K</w:t>
            </w:r>
            <w:r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>2</w:t>
            </w:r>
            <w:r w:rsidRPr="00554D35"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 xml:space="preserve">_W04 </w:t>
            </w:r>
          </w:p>
          <w:p w:rsidR="00E30CB6" w:rsidP="00E30CB6" w:rsidRDefault="00E30CB6" w14:paraId="61CDCE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E30CB6" w:rsidP="00E30CB6" w:rsidRDefault="00E30CB6" w14:paraId="6BB9E25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E30CB6" w:rsidP="00E30CB6" w:rsidRDefault="00E30CB6" w14:paraId="23DE52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Pr="00554D35" w:rsidR="00E30CB6" w:rsidP="00E30CB6" w:rsidRDefault="00E30CB6" w14:paraId="5951D8B6" wp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</w:pPr>
            <w:r w:rsidRPr="00554D35"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>K2_W07</w:t>
            </w:r>
          </w:p>
          <w:p w:rsidR="00E30CB6" w:rsidP="00E30CB6" w:rsidRDefault="00E30CB6" w14:paraId="52E562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 w:eastAsia="Verdana" w:cs="Verdana"/>
                <w:sz w:val="20"/>
              </w:rPr>
            </w:pPr>
          </w:p>
          <w:p w:rsidR="00E30CB6" w:rsidP="00E30CB6" w:rsidRDefault="00E30CB6" w14:paraId="07547A01" wp14:textId="77777777">
            <w:pPr>
              <w:spacing w:after="0" w:line="240" w:lineRule="auto"/>
            </w:pPr>
          </w:p>
          <w:p w:rsidR="00E30CB6" w:rsidP="00E30CB6" w:rsidRDefault="00E30CB6" w14:paraId="5043CB0F" wp14:textId="77777777">
            <w:pPr>
              <w:spacing w:after="0" w:line="240" w:lineRule="auto"/>
            </w:pPr>
          </w:p>
          <w:p w:rsidR="00E30CB6" w:rsidP="00E30CB6" w:rsidRDefault="00E30CB6" w14:paraId="07459315" wp14:textId="77777777">
            <w:pPr>
              <w:spacing w:after="0" w:line="240" w:lineRule="auto"/>
            </w:pPr>
          </w:p>
          <w:p w:rsidRPr="00554D35" w:rsidR="00E30CB6" w:rsidP="00E30CB6" w:rsidRDefault="00E30CB6" w14:paraId="303B452D" wp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</w:pPr>
            <w:r w:rsidRPr="00554D35"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>K2_W09</w:t>
            </w:r>
          </w:p>
          <w:p w:rsidR="00E30CB6" w:rsidP="00E30CB6" w:rsidRDefault="00E30CB6" w14:paraId="6537F28F" wp14:textId="77777777">
            <w:pPr>
              <w:spacing w:after="0" w:line="240" w:lineRule="auto"/>
            </w:pPr>
          </w:p>
          <w:p w:rsidRPr="00554D35" w:rsidR="00E30CB6" w:rsidP="00E30CB6" w:rsidRDefault="00E30CB6" w14:paraId="030E38C1" wp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</w:pPr>
            <w:r w:rsidRPr="00554D35"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>K2_U01; K2_U02</w:t>
            </w:r>
          </w:p>
          <w:p w:rsidR="00E30CB6" w:rsidP="00E30CB6" w:rsidRDefault="00E30CB6" w14:paraId="6DFB9E20" wp14:textId="77777777">
            <w:pPr>
              <w:spacing w:after="0" w:line="240" w:lineRule="auto"/>
            </w:pPr>
          </w:p>
          <w:p w:rsidR="00E30CB6" w:rsidP="00E30CB6" w:rsidRDefault="00E30CB6" w14:paraId="70DF9E56" wp14:textId="77777777">
            <w:pPr>
              <w:spacing w:after="0" w:line="240" w:lineRule="auto"/>
            </w:pPr>
          </w:p>
          <w:p w:rsidR="00E30CB6" w:rsidP="00E30CB6" w:rsidRDefault="00E30CB6" w14:paraId="44E871BC" wp14:textId="77777777">
            <w:pPr>
              <w:spacing w:after="0" w:line="240" w:lineRule="auto"/>
            </w:pPr>
          </w:p>
          <w:p w:rsidR="00E30CB6" w:rsidP="00E30CB6" w:rsidRDefault="00E30CB6" w14:paraId="144A5D23" wp14:textId="77777777">
            <w:pPr>
              <w:spacing w:after="0" w:line="240" w:lineRule="auto"/>
            </w:pPr>
          </w:p>
          <w:p w:rsidRPr="00554D35" w:rsidR="00E30CB6" w:rsidP="00E30CB6" w:rsidRDefault="00E30CB6" w14:paraId="06C20BA6" wp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</w:pPr>
            <w:r w:rsidRPr="00554D35"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>K2_U03</w:t>
            </w:r>
          </w:p>
          <w:p w:rsidR="00E30CB6" w:rsidP="00E30CB6" w:rsidRDefault="00E30CB6" w14:paraId="738610EB" wp14:textId="77777777">
            <w:pPr>
              <w:spacing w:after="0" w:line="240" w:lineRule="auto"/>
            </w:pPr>
          </w:p>
          <w:p w:rsidR="00E30CB6" w:rsidP="00E30CB6" w:rsidRDefault="00E30CB6" w14:paraId="637805D2" wp14:textId="77777777">
            <w:pPr>
              <w:spacing w:after="0" w:line="240" w:lineRule="auto"/>
            </w:pPr>
          </w:p>
          <w:p w:rsidR="00E30CB6" w:rsidP="00E30CB6" w:rsidRDefault="00E30CB6" w14:paraId="463F29E8" wp14:textId="77777777">
            <w:pPr>
              <w:spacing w:after="0" w:line="240" w:lineRule="auto"/>
            </w:pPr>
          </w:p>
          <w:p w:rsidRPr="00554D35" w:rsidR="00E30CB6" w:rsidP="00E30CB6" w:rsidRDefault="00E30CB6" w14:paraId="77842B5D" wp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</w:pPr>
            <w:r w:rsidRPr="00554D35"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>K2_K01</w:t>
            </w:r>
          </w:p>
          <w:p w:rsidR="00E30CB6" w:rsidP="00E30CB6" w:rsidRDefault="00E30CB6" w14:paraId="3B7B4B86" wp14:textId="77777777">
            <w:pPr>
              <w:spacing w:after="0" w:line="240" w:lineRule="auto"/>
            </w:pPr>
          </w:p>
          <w:p w:rsidR="00E30CB6" w:rsidP="00E30CB6" w:rsidRDefault="00E30CB6" w14:paraId="3A0FF5F2" wp14:textId="77777777">
            <w:pPr>
              <w:spacing w:after="0" w:line="240" w:lineRule="auto"/>
            </w:pPr>
          </w:p>
          <w:p w:rsidR="00E30CB6" w:rsidP="00E30CB6" w:rsidRDefault="00E30CB6" w14:paraId="5630AD66" wp14:textId="77777777">
            <w:pPr>
              <w:spacing w:after="0" w:line="240" w:lineRule="auto"/>
            </w:pPr>
          </w:p>
          <w:p w:rsidR="00E30CB6" w:rsidP="00E30CB6" w:rsidRDefault="00E30CB6" w14:paraId="61829076" wp14:textId="77777777">
            <w:pPr>
              <w:spacing w:after="0" w:line="240" w:lineRule="auto"/>
            </w:pPr>
          </w:p>
          <w:p w:rsidRPr="00554D35" w:rsidR="00E30CB6" w:rsidP="00E30CB6" w:rsidRDefault="00E30CB6" w14:paraId="033D4FA0" wp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</w:pPr>
            <w:r w:rsidRPr="00554D35">
              <w:rPr>
                <w:rFonts w:ascii="Verdana" w:hAnsi="Verdana" w:eastAsia="Times New Roman" w:cs="Times New Roman"/>
                <w:bCs/>
                <w:sz w:val="20"/>
                <w:szCs w:val="24"/>
                <w:lang w:eastAsia="zh-CN"/>
              </w:rPr>
              <w:t>K2_K03</w:t>
            </w:r>
          </w:p>
          <w:p w:rsidR="00E30CB6" w:rsidP="00E30CB6" w:rsidRDefault="00E30CB6" w14:paraId="2BA226A1" wp14:textId="77777777">
            <w:pPr>
              <w:spacing w:after="0" w:line="240" w:lineRule="auto"/>
            </w:pPr>
          </w:p>
          <w:p w:rsidR="00E30CB6" w:rsidP="00E30CB6" w:rsidRDefault="00E30CB6" w14:paraId="17AD93B2" wp14:textId="77777777">
            <w:pPr>
              <w:spacing w:after="0" w:line="240" w:lineRule="auto"/>
            </w:pPr>
          </w:p>
          <w:p w:rsidR="00E30CB6" w:rsidP="00E30CB6" w:rsidRDefault="00E30CB6" w14:paraId="0DE4B5B7" wp14:textId="77777777">
            <w:pPr>
              <w:spacing w:after="0" w:line="240" w:lineRule="auto"/>
            </w:pPr>
          </w:p>
          <w:p w:rsidR="00E30CB6" w:rsidP="00E30CB6" w:rsidRDefault="00E30CB6" w14:paraId="66204FF1" wp14:textId="77777777">
            <w:pPr>
              <w:spacing w:after="0" w:line="240" w:lineRule="auto"/>
            </w:pPr>
          </w:p>
          <w:p w:rsidRPr="007B6C57" w:rsidR="00E30CB6" w:rsidP="00E30CB6" w:rsidRDefault="00E30CB6" w14:paraId="35AA595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B6C57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</w:tc>
      </w:tr>
      <w:tr xmlns:wp14="http://schemas.microsoft.com/office/word/2010/wordml" w:rsidRPr="00E30CB6" w:rsidR="00E30CB6" w:rsidTr="79944334" w14:paraId="1013F4E1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2DBF0D7D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21782214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E30CB6" w:rsidP="00E30CB6" w:rsidRDefault="00E30CB6" w14:paraId="425CC149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Required reading</w:t>
            </w:r>
          </w:p>
          <w:p w:rsidRPr="00F1098F" w:rsidR="00E30CB6" w:rsidP="00E30CB6" w:rsidRDefault="00E30CB6" w14:paraId="2BDA909C" wp14:textId="77777777">
            <w:pPr>
              <w:suppressAutoHyphens/>
              <w:spacing w:after="0" w:line="240" w:lineRule="auto"/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</w:pPr>
            <w:r w:rsidRPr="005A7B29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Bromley, R.G. 1996. </w:t>
            </w:r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Trace Fossils. Biology, Taphonomy and Applications, 1–347. Chapman and Hall; </w:t>
            </w:r>
            <w:smartTag w:uri="urn:schemas-microsoft-com:office:smarttags" w:element="City">
              <w:smartTag w:uri="urn:schemas-microsoft-com:office:smarttags" w:element="place">
                <w:r w:rsidRPr="00F1098F">
                  <w:rPr>
                    <w:rFonts w:ascii="Verdana" w:hAnsi="Verdana" w:eastAsia="Calibri" w:cs="Times New Roman"/>
                    <w:color w:val="000000"/>
                    <w:sz w:val="20"/>
                    <w:szCs w:val="20"/>
                    <w:lang w:val="en-GB" w:eastAsia="ar-SA"/>
                  </w:rPr>
                  <w:t>London</w:t>
                </w:r>
              </w:smartTag>
            </w:smartTag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.</w:t>
            </w:r>
          </w:p>
          <w:p w:rsidRPr="00F1098F" w:rsidR="00E30CB6" w:rsidP="00E30CB6" w:rsidRDefault="00E30CB6" w14:paraId="5D12E2A0" wp14:textId="77777777">
            <w:pPr>
              <w:suppressAutoHyphens/>
              <w:spacing w:after="0" w:line="240" w:lineRule="auto"/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</w:pPr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Bromley, R.G., </w:t>
            </w:r>
            <w:proofErr w:type="spellStart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Buatois</w:t>
            </w:r>
            <w:proofErr w:type="spellEnd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F1098F">
                  <w:rPr>
                    <w:rFonts w:ascii="Verdana" w:hAnsi="Verdana" w:eastAsia="Calibri" w:cs="Times New Roman"/>
                    <w:color w:val="000000"/>
                    <w:sz w:val="20"/>
                    <w:szCs w:val="20"/>
                    <w:lang w:val="en-GB" w:eastAsia="ar-SA"/>
                  </w:rPr>
                  <w:t>L.A.</w:t>
                </w:r>
              </w:smartTag>
            </w:smartTag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, </w:t>
            </w:r>
            <w:proofErr w:type="spellStart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Mángano</w:t>
            </w:r>
            <w:proofErr w:type="spellEnd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, G., </w:t>
            </w:r>
            <w:proofErr w:type="spellStart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Genise</w:t>
            </w:r>
            <w:proofErr w:type="spellEnd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, J.F. and Melchor, R.N. 2007. Sediment-Organism Interactions: A Multifaceted Ichnology. SEPM, Special Publication, 88, 393 pp.</w:t>
            </w:r>
          </w:p>
          <w:p w:rsidRPr="00F1098F" w:rsidR="00E30CB6" w:rsidP="00E30CB6" w:rsidRDefault="00E30CB6" w14:paraId="6AC16B9F" wp14:textId="77777777">
            <w:pPr>
              <w:suppressAutoHyphens/>
              <w:spacing w:after="0" w:line="240" w:lineRule="auto"/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</w:pPr>
            <w:proofErr w:type="spellStart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Buatois</w:t>
            </w:r>
            <w:proofErr w:type="spellEnd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, L. and </w:t>
            </w:r>
            <w:proofErr w:type="spellStart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Mángano</w:t>
            </w:r>
            <w:proofErr w:type="spellEnd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, M.G. 2011. Ichnology, Organism-Substrate Interactions in Space and Time. </w:t>
            </w:r>
            <w:smartTag w:uri="urn:schemas-microsoft-com:office:smarttags" w:element="place">
              <w:smartTag w:uri="urn:schemas-microsoft-com:office:smarttags" w:element="PlaceName">
                <w:r w:rsidRPr="00F1098F">
                  <w:rPr>
                    <w:rFonts w:ascii="Verdana" w:hAnsi="Verdana" w:eastAsia="Calibri" w:cs="Times New Roman"/>
                    <w:color w:val="000000"/>
                    <w:sz w:val="20"/>
                    <w:szCs w:val="20"/>
                    <w:lang w:val="en-GB" w:eastAsia="ar-SA"/>
                  </w:rPr>
                  <w:t>Cambridge</w:t>
                </w:r>
              </w:smartTag>
              <w:r w:rsidRPr="00F1098F">
                <w:rPr>
                  <w:rFonts w:ascii="Verdana" w:hAnsi="Verdana" w:eastAsia="Calibri" w:cs="Times New Roman"/>
                  <w:color w:val="000000"/>
                  <w:sz w:val="20"/>
                  <w:szCs w:val="20"/>
                  <w:lang w:val="en-GB" w:eastAsia="ar-SA"/>
                </w:rPr>
                <w:t xml:space="preserve"> </w:t>
              </w:r>
              <w:smartTag w:uri="urn:schemas-microsoft-com:office:smarttags" w:element="PlaceType">
                <w:r w:rsidRPr="00F1098F">
                  <w:rPr>
                    <w:rFonts w:ascii="Verdana" w:hAnsi="Verdana" w:eastAsia="Calibri" w:cs="Times New Roman"/>
                    <w:color w:val="000000"/>
                    <w:sz w:val="20"/>
                    <w:szCs w:val="20"/>
                    <w:lang w:val="en-GB" w:eastAsia="ar-SA"/>
                  </w:rPr>
                  <w:t>University</w:t>
                </w:r>
              </w:smartTag>
            </w:smartTag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 Press, 358 pp.</w:t>
            </w:r>
          </w:p>
          <w:p w:rsidRPr="00F1098F" w:rsidR="00E30CB6" w:rsidP="00E30CB6" w:rsidRDefault="00E30CB6" w14:paraId="14A6D0EE" wp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val="en-US" w:eastAsia="zh-CN"/>
              </w:rPr>
            </w:pPr>
            <w:proofErr w:type="spellStart"/>
            <w:r w:rsidRPr="00F1098F"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val="en-US" w:eastAsia="zh-CN"/>
              </w:rPr>
              <w:t>Knaust</w:t>
            </w:r>
            <w:proofErr w:type="spellEnd"/>
            <w:r w:rsidRPr="00F1098F"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val="en-US" w:eastAsia="zh-CN"/>
              </w:rPr>
              <w:t>, D. and Bromley, R.G. 2012. Trace fossils as indicators of sedimentary environments, Developments in Sedimentology, 64, 924 pp.</w:t>
            </w:r>
          </w:p>
          <w:p w:rsidRPr="00F1098F" w:rsidR="00E30CB6" w:rsidP="00E30CB6" w:rsidRDefault="00E30CB6" w14:paraId="2B893ED6" wp14:textId="77777777">
            <w:pPr>
              <w:suppressAutoHyphens/>
              <w:spacing w:after="0" w:line="240" w:lineRule="auto"/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F1098F"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val="en-US" w:eastAsia="zh-CN"/>
              </w:rPr>
              <w:t xml:space="preserve">McIlroy, D. 2004. The application of ichnology to </w:t>
            </w:r>
            <w:proofErr w:type="spellStart"/>
            <w:r w:rsidRPr="00F1098F"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val="en-US" w:eastAsia="zh-CN"/>
              </w:rPr>
              <w:t>palaeoenvironmental</w:t>
            </w:r>
            <w:proofErr w:type="spellEnd"/>
            <w:r w:rsidRPr="00F1098F">
              <w:rPr>
                <w:rFonts w:ascii="Verdana" w:hAnsi="Verdana" w:eastAsia="Times New Roman" w:cs="Times New Roman"/>
                <w:color w:val="000000"/>
                <w:sz w:val="20"/>
                <w:szCs w:val="20"/>
                <w:lang w:val="en-US" w:eastAsia="zh-CN"/>
              </w:rPr>
              <w:t xml:space="preserve"> and stratigraphic analysis. Geological Society, Special Publication, 228, 490 pp.</w:t>
            </w:r>
          </w:p>
          <w:p w:rsidRPr="00F1098F" w:rsidR="00E30CB6" w:rsidP="00E30CB6" w:rsidRDefault="00E30CB6" w14:paraId="20E27D4A" wp14:textId="77777777">
            <w:pPr>
              <w:suppressAutoHyphens/>
              <w:spacing w:after="0" w:line="240" w:lineRule="auto"/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</w:pPr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Pemberton, S.G., </w:t>
            </w:r>
            <w:proofErr w:type="spellStart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Spila</w:t>
            </w:r>
            <w:proofErr w:type="spellEnd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, M., Pulham, A.J., Saunders, T., MacEachern, J.A., Robbins, D. and Sinclair, I.K. 2001. Ichnology and sedimentology of shallow to marginal marine systems. Ben Nevis &amp; Avalon Reservoirs, </w:t>
            </w:r>
            <w:smartTag w:uri="urn:schemas-microsoft-com:office:smarttags" w:element="place">
              <w:smartTag w:uri="urn:schemas-microsoft-com:office:smarttags" w:element="PlaceName">
                <w:r w:rsidRPr="00F1098F">
                  <w:rPr>
                    <w:rFonts w:ascii="Verdana" w:hAnsi="Verdana" w:eastAsia="Calibri" w:cs="Times New Roman"/>
                    <w:color w:val="000000"/>
                    <w:sz w:val="20"/>
                    <w:szCs w:val="20"/>
                    <w:lang w:val="en-GB" w:eastAsia="ar-SA"/>
                  </w:rPr>
                  <w:t xml:space="preserve">Jeanne </w:t>
                </w:r>
                <w:proofErr w:type="spellStart"/>
                <w:r w:rsidRPr="00F1098F">
                  <w:rPr>
                    <w:rFonts w:ascii="Verdana" w:hAnsi="Verdana" w:eastAsia="Calibri" w:cs="Times New Roman"/>
                    <w:color w:val="000000"/>
                    <w:sz w:val="20"/>
                    <w:szCs w:val="20"/>
                    <w:lang w:val="en-GB" w:eastAsia="ar-SA"/>
                  </w:rPr>
                  <w:t>d’Arc</w:t>
                </w:r>
              </w:smartTag>
              <w:proofErr w:type="spellEnd"/>
              <w:r w:rsidRPr="00F1098F">
                <w:rPr>
                  <w:rFonts w:ascii="Verdana" w:hAnsi="Verdana" w:eastAsia="Calibri" w:cs="Times New Roman"/>
                  <w:color w:val="000000"/>
                  <w:sz w:val="20"/>
                  <w:szCs w:val="20"/>
                  <w:lang w:val="en-GB" w:eastAsia="ar-SA"/>
                </w:rPr>
                <w:t xml:space="preserve"> </w:t>
              </w:r>
              <w:smartTag w:uri="urn:schemas-microsoft-com:office:smarttags" w:element="PlaceType">
                <w:r w:rsidRPr="00F1098F">
                  <w:rPr>
                    <w:rFonts w:ascii="Verdana" w:hAnsi="Verdana" w:eastAsia="Calibri" w:cs="Times New Roman"/>
                    <w:color w:val="000000"/>
                    <w:sz w:val="20"/>
                    <w:szCs w:val="20"/>
                    <w:lang w:val="en-GB" w:eastAsia="ar-SA"/>
                  </w:rPr>
                  <w:t>Basin</w:t>
                </w:r>
              </w:smartTag>
            </w:smartTag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. Geological Association of </w:t>
            </w:r>
            <w:smartTag w:uri="urn:schemas-microsoft-com:office:smarttags" w:element="country-region">
              <w:smartTag w:uri="urn:schemas-microsoft-com:office:smarttags" w:element="place">
                <w:r w:rsidRPr="00F1098F">
                  <w:rPr>
                    <w:rFonts w:ascii="Verdana" w:hAnsi="Verdana" w:eastAsia="Calibri" w:cs="Times New Roman"/>
                    <w:color w:val="000000"/>
                    <w:sz w:val="20"/>
                    <w:szCs w:val="20"/>
                    <w:lang w:val="en-GB" w:eastAsia="ar-SA"/>
                  </w:rPr>
                  <w:t>Canada</w:t>
                </w:r>
              </w:smartTag>
            </w:smartTag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, Short Course Notes, 15, 343 pp.</w:t>
            </w:r>
          </w:p>
          <w:p w:rsidRPr="00F1098F" w:rsidR="00E30CB6" w:rsidP="00E30CB6" w:rsidRDefault="00E30CB6" w14:paraId="5FC10653" wp14:textId="77777777">
            <w:pPr>
              <w:suppressAutoHyphens/>
              <w:spacing w:after="120" w:line="240" w:lineRule="auto"/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US" w:eastAsia="ar-SA"/>
              </w:rPr>
            </w:pPr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US" w:eastAsia="ar-SA"/>
              </w:rPr>
              <w:t xml:space="preserve">Seilacher, A., 2007. Trace fossil analysis, 1–226. </w:t>
            </w:r>
            <w:smartTag w:uri="urn:schemas-microsoft-com:office:smarttags" w:element="City">
              <w:r w:rsidRPr="00F1098F">
                <w:rPr>
                  <w:rFonts w:ascii="Verdana" w:hAnsi="Verdana" w:eastAsia="Calibri" w:cs="Times New Roman"/>
                  <w:color w:val="000000"/>
                  <w:sz w:val="20"/>
                  <w:szCs w:val="20"/>
                  <w:lang w:val="en-US" w:eastAsia="ar-SA"/>
                </w:rPr>
                <w:t>Springer-Verlag</w:t>
              </w:r>
            </w:smartTag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US" w:eastAsia="ar-SA"/>
              </w:rPr>
              <w:t xml:space="preserve">, </w:t>
            </w:r>
            <w:smartTag w:uri="urn:schemas-microsoft-com:office:smarttags" w:element="State">
              <w:r w:rsidRPr="00F1098F">
                <w:rPr>
                  <w:rFonts w:ascii="Verdana" w:hAnsi="Verdana" w:eastAsia="Calibri" w:cs="Times New Roman"/>
                  <w:color w:val="000000"/>
                  <w:sz w:val="20"/>
                  <w:szCs w:val="20"/>
                  <w:lang w:val="en-US" w:eastAsia="ar-SA"/>
                </w:rPr>
                <w:t>Berlin</w:t>
              </w:r>
            </w:smartTag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US" w:eastAsia="ar-SA"/>
              </w:rPr>
              <w:t>-</w:t>
            </w:r>
            <w:proofErr w:type="spellStart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US" w:eastAsia="ar-SA"/>
              </w:rPr>
              <w:t>Heilderberg</w:t>
            </w:r>
            <w:proofErr w:type="spellEnd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US" w:eastAsia="ar-SA"/>
              </w:rPr>
              <w:t>-</w:t>
            </w:r>
            <w:smartTag w:uri="urn:schemas-microsoft-com:office:smarttags" w:element="State">
              <w:smartTag w:uri="urn:schemas-microsoft-com:office:smarttags" w:element="place">
                <w:r w:rsidRPr="00F1098F">
                  <w:rPr>
                    <w:rFonts w:ascii="Verdana" w:hAnsi="Verdana" w:eastAsia="Calibri" w:cs="Times New Roman"/>
                    <w:color w:val="000000"/>
                    <w:sz w:val="20"/>
                    <w:szCs w:val="20"/>
                    <w:lang w:val="en-US" w:eastAsia="ar-SA"/>
                  </w:rPr>
                  <w:t>New York</w:t>
                </w:r>
              </w:smartTag>
            </w:smartTag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US" w:eastAsia="ar-SA"/>
              </w:rPr>
              <w:t xml:space="preserve">. </w:t>
            </w:r>
          </w:p>
          <w:p w:rsidR="00E30CB6" w:rsidP="00E30CB6" w:rsidRDefault="00E30CB6" w14:paraId="5E59B965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Recommended reading</w:t>
            </w:r>
          </w:p>
          <w:p w:rsidR="00E30CB6" w:rsidP="00E30CB6" w:rsidRDefault="00E30CB6" w14:paraId="1F65873F" wp14:textId="77777777">
            <w:pPr>
              <w:suppressAutoHyphens/>
              <w:spacing w:after="0" w:line="240" w:lineRule="auto"/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</w:pPr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Curran, H.A. 1985. Biogenic structures: their use in interpreting depositional environments. SEPM, Special Publications, 35, 347 pp.</w:t>
            </w:r>
          </w:p>
          <w:p w:rsidRPr="00F1098F" w:rsidR="00E30CB6" w:rsidP="00E30CB6" w:rsidRDefault="00E30CB6" w14:paraId="5C9D4DCC" wp14:textId="77777777">
            <w:pPr>
              <w:suppressAutoHyphens/>
              <w:spacing w:after="0" w:line="240" w:lineRule="auto"/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</w:pPr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Frey, R.W. and Seilacher, A. 1980. Uniformity in marine invertebrate ichnology. </w:t>
            </w:r>
            <w:proofErr w:type="spellStart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Lethaia</w:t>
            </w:r>
            <w:proofErr w:type="spellEnd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, 13, 183–207.</w:t>
            </w:r>
          </w:p>
          <w:p w:rsidR="00E30CB6" w:rsidP="00E30CB6" w:rsidRDefault="00E30CB6" w14:paraId="789FDB2E" wp14:textId="77777777">
            <w:pPr>
              <w:suppressAutoHyphens/>
              <w:spacing w:after="0" w:line="240" w:lineRule="auto"/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</w:pPr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Frey, R.W., Howard, J.D. and Pryor, W.A. 1978. </w:t>
            </w:r>
            <w:proofErr w:type="spellStart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Ophiomorpha</w:t>
            </w:r>
            <w:proofErr w:type="spellEnd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: its morphologic, taxonomic, and environmental significance. </w:t>
            </w:r>
            <w:proofErr w:type="spellStart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Palaeogeography</w:t>
            </w:r>
            <w:proofErr w:type="spellEnd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, </w:t>
            </w:r>
            <w:proofErr w:type="spellStart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Palaeoclimatology</w:t>
            </w:r>
            <w:proofErr w:type="spellEnd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, </w:t>
            </w:r>
            <w:proofErr w:type="spellStart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Palaeoecology</w:t>
            </w:r>
            <w:proofErr w:type="spellEnd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, 23, 199–229.</w:t>
            </w:r>
          </w:p>
          <w:p w:rsidR="00E30CB6" w:rsidP="00E30CB6" w:rsidRDefault="00E30CB6" w14:paraId="33648748" wp14:textId="77777777">
            <w:pPr>
              <w:suppressAutoHyphens/>
              <w:spacing w:after="0" w:line="240" w:lineRule="auto"/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</w:pPr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Frey, R.W., Pemberton, S.G. and Saunders, T.D.A. 1990. </w:t>
            </w:r>
            <w:proofErr w:type="spellStart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Ichnofacies</w:t>
            </w:r>
            <w:proofErr w:type="spellEnd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 xml:space="preserve"> and bathymetry; a passive relationship. Journal of </w:t>
            </w:r>
            <w:proofErr w:type="spellStart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Paleontology</w:t>
            </w:r>
            <w:proofErr w:type="spellEnd"/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, 64, 155–158.</w:t>
            </w:r>
          </w:p>
          <w:p w:rsidRPr="00F1098F" w:rsidR="00E30CB6" w:rsidP="00E30CB6" w:rsidRDefault="00E30CB6" w14:paraId="6F7688A9" wp14:textId="77777777">
            <w:pPr>
              <w:suppressAutoHyphens/>
              <w:spacing w:after="0" w:line="240" w:lineRule="auto"/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</w:pPr>
            <w:proofErr w:type="spellStart"/>
            <w:r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Knaust</w:t>
            </w:r>
            <w:proofErr w:type="spellEnd"/>
            <w:r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GB" w:eastAsia="ar-SA"/>
              </w:rPr>
              <w:t>, D., 2017. Atlas of Trace Fossils in Well Core. Appearance, Taxonomy and Interpretation. Springer, 271 pp.</w:t>
            </w:r>
          </w:p>
          <w:p w:rsidRPr="00E30CB6" w:rsidR="00E30CB6" w:rsidP="00E30CB6" w:rsidRDefault="00E30CB6" w14:paraId="0B81F322" wp14:textId="77777777">
            <w:pPr>
              <w:suppressAutoHyphens/>
              <w:spacing w:after="0" w:line="240" w:lineRule="auto"/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US" w:eastAsia="ar-SA"/>
              </w:rPr>
            </w:pPr>
            <w:r w:rsidRPr="00F1098F">
              <w:rPr>
                <w:rFonts w:ascii="Verdana" w:hAnsi="Verdana" w:eastAsia="Calibri" w:cs="Times New Roman"/>
                <w:color w:val="000000"/>
                <w:sz w:val="20"/>
                <w:szCs w:val="20"/>
                <w:lang w:val="en-US" w:eastAsia="ar-SA"/>
              </w:rPr>
              <w:t>Miller, W., III 2007. Trace fossils. Concepts. Problems. Prospects. Elsevier, 611 pp.</w:t>
            </w:r>
          </w:p>
        </w:tc>
      </w:tr>
      <w:tr xmlns:wp14="http://schemas.microsoft.com/office/word/2010/wordml" w:rsidRPr="00E30CB6" w:rsidR="00E30CB6" w:rsidTr="79944334" w14:paraId="3701C2F2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6B62F1B3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662DF0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6722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Assessment methods for the intended learning outcomes:</w:t>
            </w:r>
          </w:p>
          <w:p w:rsidRPr="00E30CB6" w:rsidR="00E30CB6" w:rsidP="00E30CB6" w:rsidRDefault="00E30CB6" w14:paraId="713E0DD7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BA0154">
              <w:rPr>
                <w:rFonts w:ascii="Verdana" w:hAnsi="Verdana"/>
                <w:bCs/>
                <w:sz w:val="20"/>
                <w:szCs w:val="20"/>
                <w:lang w:val="en-US"/>
              </w:rPr>
              <w:t>- final test (written, above 50% of all points)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– K2_W01, K2_W03, K2_W04, K2_W07, K2_W08, K2_W09, K2-U01, K2_U02, K2_U03, K2-K03, K2_K06</w:t>
            </w:r>
          </w:p>
        </w:tc>
      </w:tr>
      <w:tr xmlns:wp14="http://schemas.microsoft.com/office/word/2010/wordml" w:rsidRPr="00E30CB6" w:rsidR="00E30CB6" w:rsidTr="79944334" w14:paraId="6118CE32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02F2C34E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2729680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Pr="005A7B29" w:rsidR="00693189" w:rsidP="00693189" w:rsidRDefault="00693189" w14:paraId="5FA755B0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lang w:val="en-GB"/>
              </w:rPr>
            </w:pPr>
            <w:r w:rsidRPr="005A7B29">
              <w:rPr>
                <w:rFonts w:ascii="Verdana" w:hAnsi="Verdana" w:eastAsia="Verdana" w:cs="Verdana"/>
                <w:sz w:val="20"/>
                <w:lang w:val="en-GB"/>
              </w:rPr>
              <w:t xml:space="preserve">- monitoring attendance and progress on the course subject matter, </w:t>
            </w:r>
          </w:p>
          <w:p w:rsidRPr="005A7B29" w:rsidR="00693189" w:rsidP="00693189" w:rsidRDefault="00693189" w14:paraId="481B0C10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lang w:val="en-GB"/>
              </w:rPr>
            </w:pPr>
            <w:r w:rsidRPr="005A7B29">
              <w:rPr>
                <w:rFonts w:ascii="Verdana" w:hAnsi="Verdana" w:eastAsia="Verdana" w:cs="Verdana"/>
                <w:sz w:val="20"/>
                <w:lang w:val="en-GB"/>
              </w:rPr>
              <w:t xml:space="preserve"> - semester paper (individual or group),</w:t>
            </w:r>
          </w:p>
          <w:p w:rsidRPr="005A7B29" w:rsidR="00693189" w:rsidP="00693189" w:rsidRDefault="00693189" w14:paraId="6BD27177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lang w:val="en-GB"/>
              </w:rPr>
            </w:pPr>
            <w:r w:rsidRPr="005A7B29">
              <w:rPr>
                <w:rFonts w:ascii="Verdana" w:hAnsi="Verdana" w:eastAsia="Verdana" w:cs="Verdana"/>
                <w:sz w:val="20"/>
                <w:lang w:val="en-GB"/>
              </w:rPr>
              <w:t xml:space="preserve"> - writing a class report,</w:t>
            </w:r>
          </w:p>
          <w:p w:rsidRPr="00693189" w:rsidR="00E30CB6" w:rsidP="5A0F7A45" w:rsidRDefault="00693189" w14:paraId="240E9211" wp14:textId="41D3B17A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/>
              </w:rPr>
            </w:pPr>
            <w:r w:rsidRPr="79944334" w:rsidR="00693189">
              <w:rPr>
                <w:rFonts w:ascii="Verdana" w:hAnsi="Verdana" w:eastAsia="Verdana" w:cs="Verdana"/>
                <w:sz w:val="20"/>
                <w:szCs w:val="20"/>
                <w:lang w:val="en-GB"/>
              </w:rPr>
              <w:t xml:space="preserve"> - final test (written</w:t>
            </w:r>
            <w:r w:rsidRPr="79944334" w:rsidR="4450BE05">
              <w:rPr>
                <w:rFonts w:ascii="Verdana" w:hAnsi="Verdana" w:eastAsia="Verdana" w:cs="Verdana"/>
                <w:sz w:val="20"/>
                <w:szCs w:val="20"/>
                <w:lang w:val="en-GB"/>
              </w:rPr>
              <w:t xml:space="preserve">, </w:t>
            </w:r>
            <w:r w:rsidRPr="79944334" w:rsidR="64B277D5">
              <w:rPr>
                <w:rFonts w:ascii="Verdana" w:hAnsi="Verdana" w:eastAsia="Verdana" w:cs="Verdana"/>
                <w:sz w:val="20"/>
                <w:szCs w:val="20"/>
                <w:lang w:val="en-GB"/>
              </w:rPr>
              <w:t>from 50% pass)</w:t>
            </w:r>
            <w:r w:rsidRPr="79944334" w:rsidR="00693189">
              <w:rPr>
                <w:rFonts w:ascii="Verdana" w:hAnsi="Verdana" w:eastAsia="Verdana" w:cs="Verdana"/>
                <w:sz w:val="20"/>
                <w:szCs w:val="20"/>
                <w:lang w:val="en-GB"/>
              </w:rPr>
              <w:t>.</w:t>
            </w:r>
          </w:p>
        </w:tc>
      </w:tr>
      <w:tr xmlns:wp14="http://schemas.microsoft.com/office/word/2010/wordml" w:rsidRPr="00864E2D" w:rsidR="00E30CB6" w:rsidTr="79944334" w14:paraId="579B5F98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680A4E5D" wp14:textId="77777777">
            <w:pPr>
              <w:numPr>
                <w:ilvl w:val="0"/>
                <w:numId w:val="2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30CB6" w:rsidP="00E30CB6" w:rsidRDefault="00E30CB6" w14:paraId="3A71D4A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xmlns:wp14="http://schemas.microsoft.com/office/word/2010/wordml" w:rsidRPr="00E30CB6" w:rsidR="00E30CB6" w:rsidTr="79944334" w14:paraId="2CBF14BE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30CB6" w:rsidP="00E30CB6" w:rsidRDefault="00E30CB6" w14:paraId="1921983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30CB6" w:rsidP="00E30CB6" w:rsidRDefault="00E30CB6" w14:paraId="2596195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6F63833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xmlns:wp14="http://schemas.microsoft.com/office/word/2010/wordml" w:rsidRPr="00864E2D" w:rsidR="00E30CB6" w:rsidTr="79944334" w14:paraId="4B154DD9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9C206A" w:rsidR="00E30CB6" w:rsidP="00E30CB6" w:rsidRDefault="00E30CB6" w14:paraId="296FEF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1E462C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Pr="00B66D2E" w:rsidR="00E30CB6" w:rsidP="00E30CB6" w:rsidRDefault="00E30CB6" w14:paraId="6A246DE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lectures:</w:t>
            </w:r>
            <w:r w:rsidR="00B66D2E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26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30CB6" w:rsidP="00B66D2E" w:rsidRDefault="00B66D2E" w14:paraId="3633465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xmlns:wp14="http://schemas.microsoft.com/office/word/2010/wordml" w:rsidRPr="00E30CB6" w:rsidR="00E30CB6" w:rsidTr="79944334" w14:paraId="03372DFF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30CB6" w:rsidP="00E30CB6" w:rsidRDefault="00E30CB6" w14:paraId="7194DBD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E30CB6" w:rsidRDefault="00E30CB6" w14:paraId="4D45882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Pr="009C206A" w:rsidR="00E30CB6" w:rsidP="00E30CB6" w:rsidRDefault="00E30CB6" w14:paraId="3D613F7C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B66D2E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5</w:t>
            </w:r>
          </w:p>
          <w:p w:rsidRPr="009C206A" w:rsidR="00E30CB6" w:rsidP="00E30CB6" w:rsidRDefault="00E30CB6" w14:paraId="6358DC69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B66D2E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8</w:t>
            </w:r>
          </w:p>
          <w:p w:rsidRPr="009C206A" w:rsidR="00E30CB6" w:rsidP="00E30CB6" w:rsidRDefault="00E30CB6" w14:paraId="666C3054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preparing papers/presentations/projects:</w:t>
            </w:r>
          </w:p>
          <w:p w:rsidRPr="009C206A" w:rsidR="00E30CB6" w:rsidP="00E30CB6" w:rsidRDefault="00E30CB6" w14:paraId="12E127F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writing a class report:</w:t>
            </w:r>
          </w:p>
          <w:p w:rsidRPr="009C206A" w:rsidR="00E30CB6" w:rsidP="00E30CB6" w:rsidRDefault="00E30CB6" w14:paraId="7F664F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preparing for tests and exam:</w:t>
            </w:r>
            <w:r w:rsidR="00B66D2E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12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E30CB6" w:rsidP="00B66D2E" w:rsidRDefault="00B66D2E" w14:paraId="4BFDD700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25</w:t>
            </w:r>
          </w:p>
        </w:tc>
      </w:tr>
      <w:tr xmlns:wp14="http://schemas.microsoft.com/office/word/2010/wordml" w:rsidRPr="00864E2D" w:rsidR="00E30CB6" w:rsidTr="79944334" w14:paraId="2A8DBEDF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9C206A" w:rsidR="00E30CB6" w:rsidP="00E30CB6" w:rsidRDefault="00E30CB6" w14:paraId="769D0D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30CB6" w:rsidP="00E30CB6" w:rsidRDefault="00E30CB6" w14:paraId="06F99B1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30CB6" w:rsidP="00B66D2E" w:rsidRDefault="00B66D2E" w14:paraId="3CBA40D0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51</w:t>
            </w:r>
          </w:p>
        </w:tc>
      </w:tr>
      <w:tr xmlns:wp14="http://schemas.microsoft.com/office/word/2010/wordml" w:rsidRPr="00864E2D" w:rsidR="00E30CB6" w:rsidTr="79944334" w14:paraId="6E9F981C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30CB6" w:rsidP="00E30CB6" w:rsidRDefault="00E30CB6" w14:paraId="54CD24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30CB6" w:rsidP="00E30CB6" w:rsidRDefault="00E30CB6" w14:paraId="57947582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30CB6" w:rsidP="00B66D2E" w:rsidRDefault="00B66D2E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E30CB6" w:rsidRDefault="00E30CB6" w14:paraId="1231BE67" wp14:textId="77777777">
      <w:pPr>
        <w:spacing w:line="256" w:lineRule="auto"/>
        <w:rPr>
          <w:rFonts w:ascii="Calibri" w:hAnsi="Calibri" w:eastAsia="Calibri" w:cs="Calibri"/>
        </w:rPr>
      </w:pPr>
    </w:p>
    <w:sectPr w:rsidR="00E30CB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FD50E0" w:rsidP="00BA0154" w:rsidRDefault="00FD50E0" w14:paraId="36FEB5B0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D50E0" w:rsidP="00BA0154" w:rsidRDefault="00FD50E0" w14:paraId="30D7AA69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FD50E0" w:rsidP="00BA0154" w:rsidRDefault="00FD50E0" w14:paraId="7196D064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D50E0" w:rsidP="00BA0154" w:rsidRDefault="00FD50E0" w14:paraId="34FF1C98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0C10"/>
    <w:multiLevelType w:val="multilevel"/>
    <w:tmpl w:val="0D76A6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D92FEB"/>
    <w:multiLevelType w:val="multilevel"/>
    <w:tmpl w:val="F4C00B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5F509B"/>
    <w:multiLevelType w:val="multilevel"/>
    <w:tmpl w:val="249030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8A0260"/>
    <w:multiLevelType w:val="multilevel"/>
    <w:tmpl w:val="944E10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7C5916"/>
    <w:multiLevelType w:val="multilevel"/>
    <w:tmpl w:val="B1EC1B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9C6B15"/>
    <w:multiLevelType w:val="multilevel"/>
    <w:tmpl w:val="BB6468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BD0D86"/>
    <w:multiLevelType w:val="multilevel"/>
    <w:tmpl w:val="135C27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946B53"/>
    <w:multiLevelType w:val="multilevel"/>
    <w:tmpl w:val="59A482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2666D0"/>
    <w:multiLevelType w:val="multilevel"/>
    <w:tmpl w:val="0720A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982535"/>
    <w:multiLevelType w:val="multilevel"/>
    <w:tmpl w:val="292E0E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347E67"/>
    <w:multiLevelType w:val="multilevel"/>
    <w:tmpl w:val="266203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8050D3"/>
    <w:multiLevelType w:val="multilevel"/>
    <w:tmpl w:val="0F14BC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904323"/>
    <w:multiLevelType w:val="multilevel"/>
    <w:tmpl w:val="A67E99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575293"/>
    <w:multiLevelType w:val="multilevel"/>
    <w:tmpl w:val="20BC1D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2EB35FB"/>
    <w:multiLevelType w:val="multilevel"/>
    <w:tmpl w:val="5D887E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6A072FB"/>
    <w:multiLevelType w:val="hybridMultilevel"/>
    <w:tmpl w:val="ACB2C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34095"/>
    <w:multiLevelType w:val="multilevel"/>
    <w:tmpl w:val="B71E80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68559DC"/>
    <w:multiLevelType w:val="multilevel"/>
    <w:tmpl w:val="4282C9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6D36887"/>
    <w:multiLevelType w:val="multilevel"/>
    <w:tmpl w:val="854C45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CD73796"/>
    <w:multiLevelType w:val="multilevel"/>
    <w:tmpl w:val="5442F7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2684FC4"/>
    <w:multiLevelType w:val="hybridMultilevel"/>
    <w:tmpl w:val="85F81AE2"/>
    <w:lvl w:ilvl="0" w:tplc="D228CBB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7A5E43FC"/>
    <w:multiLevelType w:val="multilevel"/>
    <w:tmpl w:val="BD781E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15"/>
  </w:num>
  <w:num w:numId="4">
    <w:abstractNumId w:val="9"/>
  </w:num>
  <w:num w:numId="5">
    <w:abstractNumId w:val="1"/>
  </w:num>
  <w:num w:numId="6">
    <w:abstractNumId w:val="11"/>
  </w:num>
  <w:num w:numId="7">
    <w:abstractNumId w:val="10"/>
  </w:num>
  <w:num w:numId="8">
    <w:abstractNumId w:val="13"/>
  </w:num>
  <w:num w:numId="9">
    <w:abstractNumId w:val="4"/>
  </w:num>
  <w:num w:numId="10">
    <w:abstractNumId w:val="22"/>
  </w:num>
  <w:num w:numId="11">
    <w:abstractNumId w:val="18"/>
  </w:num>
  <w:num w:numId="12">
    <w:abstractNumId w:val="7"/>
  </w:num>
  <w:num w:numId="13">
    <w:abstractNumId w:val="6"/>
  </w:num>
  <w:num w:numId="14">
    <w:abstractNumId w:val="14"/>
  </w:num>
  <w:num w:numId="15">
    <w:abstractNumId w:val="0"/>
  </w:num>
  <w:num w:numId="16">
    <w:abstractNumId w:val="20"/>
  </w:num>
  <w:num w:numId="17">
    <w:abstractNumId w:val="2"/>
  </w:num>
  <w:num w:numId="18">
    <w:abstractNumId w:val="19"/>
  </w:num>
  <w:num w:numId="19">
    <w:abstractNumId w:val="17"/>
  </w:num>
  <w:num w:numId="20">
    <w:abstractNumId w:val="8"/>
  </w:num>
  <w:num w:numId="21">
    <w:abstractNumId w:val="21"/>
  </w:num>
  <w:num w:numId="22">
    <w:abstractNumId w:val="16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FEA"/>
    <w:rsid w:val="001F7EB1"/>
    <w:rsid w:val="002112AD"/>
    <w:rsid w:val="0024222F"/>
    <w:rsid w:val="002F00F6"/>
    <w:rsid w:val="0049262F"/>
    <w:rsid w:val="004B7AEF"/>
    <w:rsid w:val="004E30B5"/>
    <w:rsid w:val="00525101"/>
    <w:rsid w:val="00554D35"/>
    <w:rsid w:val="005A7B29"/>
    <w:rsid w:val="00693189"/>
    <w:rsid w:val="007B6C57"/>
    <w:rsid w:val="008160E0"/>
    <w:rsid w:val="00825F55"/>
    <w:rsid w:val="009A32D5"/>
    <w:rsid w:val="00A56FEA"/>
    <w:rsid w:val="00AD6C25"/>
    <w:rsid w:val="00B66D2E"/>
    <w:rsid w:val="00BA0154"/>
    <w:rsid w:val="00CF78DA"/>
    <w:rsid w:val="00D12AD0"/>
    <w:rsid w:val="00E30CB6"/>
    <w:rsid w:val="00E4675C"/>
    <w:rsid w:val="00E55236"/>
    <w:rsid w:val="00F1098F"/>
    <w:rsid w:val="00F50637"/>
    <w:rsid w:val="00F76393"/>
    <w:rsid w:val="00FD50E0"/>
    <w:rsid w:val="4450BE05"/>
    <w:rsid w:val="5A0F7A45"/>
    <w:rsid w:val="64B277D5"/>
    <w:rsid w:val="7994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57788A6F"/>
  <w15:docId w15:val="{6408CB7B-61D6-4B2C-A0B8-95ADE53FF39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154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BA0154"/>
  </w:style>
  <w:style w:type="paragraph" w:styleId="Stopka">
    <w:name w:val="footer"/>
    <w:basedOn w:val="Normalny"/>
    <w:link w:val="StopkaZnak"/>
    <w:uiPriority w:val="99"/>
    <w:unhideWhenUsed/>
    <w:rsid w:val="00BA0154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BA0154"/>
  </w:style>
  <w:style w:type="paragraph" w:styleId="Akapitzlist">
    <w:name w:val="List Paragraph"/>
    <w:basedOn w:val="Normalny"/>
    <w:uiPriority w:val="34"/>
    <w:qFormat/>
    <w:rsid w:val="005A7B29"/>
    <w:pPr>
      <w:ind w:left="720"/>
      <w:contextualSpacing/>
    </w:pPr>
  </w:style>
  <w:style w:type="character" w:styleId="shorttext" w:customStyle="1">
    <w:name w:val="short_text"/>
    <w:basedOn w:val="Domylnaczcionkaakapitu"/>
    <w:rsid w:val="00E30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Alina</dc:creator>
  <lastModifiedBy>Alina Chrząstek</lastModifiedBy>
  <revision>12</revision>
  <dcterms:created xsi:type="dcterms:W3CDTF">2019-04-23T16:56:00.0000000Z</dcterms:created>
  <dcterms:modified xsi:type="dcterms:W3CDTF">2023-09-13T20:54:41.4854664Z</dcterms:modified>
</coreProperties>
</file>