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16053266" w:rsidR="008E7503" w:rsidRPr="0051737D" w:rsidRDefault="008E7503" w:rsidP="79F3EE0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Załącznik Nr 5</w:t>
      </w:r>
    </w:p>
    <w:p w14:paraId="00925DFB" w14:textId="7F271FB2" w:rsidR="008E7503" w:rsidRPr="0051737D" w:rsidRDefault="008E7503" w:rsidP="79F3EE07">
      <w:pPr>
        <w:spacing w:after="0" w:line="240" w:lineRule="auto"/>
        <w:rPr>
          <w:rFonts w:ascii="Verdana" w:hAnsi="Verdana"/>
          <w:sz w:val="20"/>
          <w:szCs w:val="20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79F3EE0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167BAF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1238C26" w14:textId="5690F576" w:rsidR="008E7503" w:rsidRPr="00E67FD8" w:rsidRDefault="7BA7B0A2" w:rsidP="7BA7B0A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 xml:space="preserve">Biogeochemia i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geomikrobiologia</w:t>
            </w:r>
            <w:proofErr w:type="spellEnd"/>
            <w:r w:rsidRPr="7BA7B0A2">
              <w:rPr>
                <w:rFonts w:ascii="Verdana" w:hAnsi="Verdana"/>
                <w:sz w:val="20"/>
                <w:szCs w:val="20"/>
                <w:lang w:val="en-GB"/>
              </w:rPr>
              <w:t xml:space="preserve"> /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Biogeochemistry</w:t>
            </w:r>
            <w:proofErr w:type="spellEnd"/>
            <w:r w:rsidRPr="7BA7B0A2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7BA7B0A2">
              <w:rPr>
                <w:rFonts w:ascii="Verdana" w:hAnsi="Verdana"/>
                <w:sz w:val="20"/>
                <w:szCs w:val="20"/>
              </w:rPr>
              <w:t>geomicrobiology</w:t>
            </w:r>
            <w:proofErr w:type="spellEnd"/>
          </w:p>
        </w:tc>
      </w:tr>
      <w:tr w:rsidR="008E7503" w:rsidRPr="00864E2D" w14:paraId="29EA054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17EC0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64E2D" w14:paraId="5EC90317" w14:textId="77777777" w:rsidTr="7BA7B0A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100BE" w:rsidRPr="00A100BE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299B3DF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CB6BAD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CFF48FE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1750FF" w14:textId="07E58FC8" w:rsidR="00DB2C30" w:rsidRPr="00864E2D" w:rsidRDefault="7BA7B0A2" w:rsidP="7BA7B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="008E7503" w:rsidRPr="00864E2D" w14:paraId="6C4BB22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E405E5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87D102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5E00A7C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7AFDFC1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0F72CB0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12</w:t>
            </w:r>
          </w:p>
          <w:p w14:paraId="061313F5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Ćwiczenia</w:t>
            </w:r>
            <w:r w:rsidR="00E55635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301F0">
              <w:rPr>
                <w:rFonts w:ascii="Verdana" w:hAnsi="Verdana"/>
                <w:sz w:val="20"/>
                <w:szCs w:val="20"/>
              </w:rPr>
              <w:t>:</w:t>
            </w:r>
            <w:r w:rsidR="001D10C7" w:rsidRPr="00D301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18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0239AF5" w14:textId="77777777" w:rsidR="000C5820" w:rsidRPr="00A100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wykonanie raportów</w:t>
            </w:r>
            <w:r w:rsidR="00A100B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105F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6BB911" w14:textId="77777777" w:rsidR="008E7503" w:rsidRPr="00A100BE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47403847" w14:textId="77777777" w:rsidR="001D10C7" w:rsidRPr="00A100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Wykładowca: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146558A8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A100BE" w:rsidRPr="00A100BE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14:paraId="4AFC8430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58CA54" w14:textId="77777777" w:rsidR="008E7503" w:rsidRPr="00D301F0" w:rsidRDefault="00D301F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Opanowane podstawy chemii środowiska lub geochemii.</w:t>
            </w:r>
          </w:p>
        </w:tc>
      </w:tr>
      <w:tr w:rsidR="008E7503" w:rsidRPr="00864E2D" w14:paraId="58165A4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E2B85A0" w14:textId="77777777" w:rsidR="008E7503" w:rsidRPr="00D301F0" w:rsidRDefault="00D301F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lastRenderedPageBreak/>
              <w:t xml:space="preserve">Naświetlenie problemu złożoności środowiska przyrodniczego i uświadomienie ścisłego powiązania pomiędzy jego składnikami abiotycznymi i biotycznymi. Zapoznanie z możliwościami użytkowego i/lub przemysłowego wykorzystania biogeochemii i </w:t>
            </w:r>
            <w:proofErr w:type="spellStart"/>
            <w:r w:rsidRPr="00D301F0">
              <w:rPr>
                <w:rFonts w:ascii="Verdana" w:hAnsi="Verdana"/>
                <w:sz w:val="20"/>
                <w:szCs w:val="20"/>
              </w:rPr>
              <w:t>geomikrobiologii</w:t>
            </w:r>
            <w:proofErr w:type="spellEnd"/>
            <w:r w:rsidRPr="00D301F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A16033F" w14:textId="77777777" w:rsidTr="7BA7B0A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51F772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23FB2C48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Cykle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biogeochemiczne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ich modyfikacje na skutek presji antropogenicznej; </w:t>
            </w:r>
          </w:p>
          <w:p w14:paraId="1BA4E28F" w14:textId="77777777" w:rsidR="00D301F0" w:rsidRPr="00D301F0" w:rsidRDefault="00981312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R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ola mikroorganizmów w najważniejszych cyklach obiegu pierwiastków, mikroorganizmy środowisk ekstremalnych. </w:t>
            </w:r>
          </w:p>
          <w:p w14:paraId="068CEEA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Krążenie pierwiastków a procesy produkcji pierwotnej i dekompozycji;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nadproduktywność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środowiska jako wynik antropopresji- przyczyny, skutki, znaczenie. </w:t>
            </w:r>
          </w:p>
          <w:p w14:paraId="2F6B77C4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Enzymy jako katalizatory reakcji chemicznych w środowisku i ich wykorzystanie w diagnostyce jakości środowiska wodnego i glebowego. </w:t>
            </w:r>
          </w:p>
          <w:p w14:paraId="2EE3EB7E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Śledzenie szlaków przepływu pierwiastków w środowisku z wykorzystaniem izotopów stabilnych – rola w monitoringu obiegu pierwiastków. </w:t>
            </w:r>
          </w:p>
          <w:p w14:paraId="217A9F0A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fitoremediacja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; zastosowanie bakterii, grzybów i roślin do oczyszczania gleb i wody z substancji zanieczyszczających i w rekultywacji terenów poprzemysłowych. </w:t>
            </w:r>
            <w:r w:rsidR="007259E9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Ekotoksykologia. </w:t>
            </w:r>
          </w:p>
          <w:p w14:paraId="0074A855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Rola mikroorganizmów w formowaniu wybranych minerałów.</w:t>
            </w:r>
          </w:p>
          <w:p w14:paraId="6AF14FC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Wykorzystanie mikroorganizmów w procesach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biohydrometalurgicznych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jako alternatywa dla konwencjonalnych procesów odzysku metali. </w:t>
            </w:r>
          </w:p>
          <w:p w14:paraId="53128261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5F98D9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Ćwiczenia: </w:t>
            </w:r>
          </w:p>
          <w:p w14:paraId="54B296B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Proste eksperymenty wykonywane w grupach:</w:t>
            </w:r>
          </w:p>
          <w:p w14:paraId="11ACA942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zmiany parametrów fizykochemicznych i mikrobiologicznych wód w powiązaniu ze zmianami dynamiki hydrologicznej cieku na przykładzie Odry we Wrocławiu; </w:t>
            </w:r>
          </w:p>
          <w:p w14:paraId="1A496934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wpływ fosforu i azotu na tempo produkcji pierwotnej – eksperyment laboratoryjny; </w:t>
            </w:r>
          </w:p>
          <w:p w14:paraId="191E8BE1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Znaczenie enzymów hydrolitycznych w środowisku na przykładzie fosfatazy alkalicznej lub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arylsulfatazy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; </w:t>
            </w:r>
          </w:p>
          <w:p w14:paraId="135C2D48" w14:textId="77777777" w:rsidR="00D301F0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Dekompozycja tlenowa  i beztlenowa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– eksperyment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y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laboratoryjn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e</w:t>
            </w:r>
          </w:p>
          <w:p w14:paraId="7F587B12" w14:textId="77777777" w:rsid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Metody oceny liczebności i/lub aktywności mikroorganizmów.</w:t>
            </w:r>
          </w:p>
          <w:p w14:paraId="08366D4F" w14:textId="77777777" w:rsidR="009D2B88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Mikrobiotesty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ocenie </w:t>
            </w:r>
            <w:proofErr w:type="spellStart"/>
            <w:r>
              <w:rPr>
                <w:rFonts w:ascii="Verdana" w:hAnsi="Verdana" w:cs="Arial"/>
                <w:sz w:val="20"/>
                <w:szCs w:val="20"/>
                <w:lang w:eastAsia="pl-PL"/>
              </w:rPr>
              <w:t>ekotoksyczności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. </w:t>
            </w:r>
          </w:p>
          <w:p w14:paraId="369947E6" w14:textId="77777777" w:rsidR="000C5820" w:rsidRPr="00981312" w:rsidRDefault="00D301F0" w:rsidP="00981312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Analiza składu izotopowego węgla w monitoringu procesów </w:t>
            </w:r>
            <w:proofErr w:type="spellStart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E7503" w:rsidRPr="00864E2D" w14:paraId="65908DB4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B6DFDBF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Rozumie interdyscyplinarny i holistyczny charakter wiedzy o systemie Ziemi i posiada adekwatną wiedzę z zakresu biogeochemii. </w:t>
            </w:r>
          </w:p>
          <w:p w14:paraId="4DDBEF0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158CF0A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Posiada wiedzę na temat globalnych cykli </w:t>
            </w:r>
            <w:proofErr w:type="spellStart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oraz metod badawczych wykorzystywanych w ich śledzeniu. </w:t>
            </w:r>
          </w:p>
          <w:p w14:paraId="3461D779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EFA8104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 Student potrafi zdobywać, syntezować i przekazywać aktualną wiedzę na temat cykli </w:t>
            </w:r>
            <w:proofErr w:type="spellStart"/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biogeochemicznych</w:t>
            </w:r>
            <w:proofErr w:type="spellEnd"/>
          </w:p>
          <w:p w14:paraId="3CF2D8B6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D9509C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U_2 Potrafi przeprowadzić prosty </w:t>
            </w: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 xml:space="preserve">eksperyment pod nadzorem opiekuna naukowego. </w:t>
            </w:r>
          </w:p>
          <w:p w14:paraId="0FB78278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740D7BA3" w14:textId="77777777" w:rsidR="00D301F0" w:rsidRPr="004C4517" w:rsidRDefault="00D301F0" w:rsidP="00D301F0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U_3 Student potrafi konstruktywnie współpracować w zespole opracowującym projekt lub eksperyment</w:t>
            </w:r>
          </w:p>
          <w:p w14:paraId="4DBA3AF9" w14:textId="77777777" w:rsidR="003166C6" w:rsidRPr="00325050" w:rsidRDefault="00D301F0" w:rsidP="00D301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K_1 Aktualizuje i poszerza swoją wiedzę w oparciu o najnowsze informacje pochodzące z różnych źródeł i krytycznie ocenia ich wiarygodność.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C39945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06E913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14:paraId="0562CB0E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4C0484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14:paraId="6D98A12B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5997CC1D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lastRenderedPageBreak/>
              <w:t>InżK2_U02</w:t>
            </w:r>
          </w:p>
          <w:p w14:paraId="110FFD37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78730F4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FE9F23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4711DED6" w14:textId="77777777" w:rsidR="003166C6" w:rsidRPr="00864E2D" w:rsidRDefault="004C4517" w:rsidP="004C45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</w:tc>
      </w:tr>
      <w:tr w:rsidR="008E7503" w:rsidRPr="00AC139C" w14:paraId="7B1AF1A9" w14:textId="77777777" w:rsidTr="7BA7B0A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8D383B" w14:textId="77777777" w:rsidR="00662F58" w:rsidRPr="004C4517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C4517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0BBEEA3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141FD94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Kurt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Konhauser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, 2007. Introduction to geomicrobiology. Blackwell Publishing. </w:t>
            </w:r>
          </w:p>
          <w:p w14:paraId="14FAE86C" w14:textId="77777777" w:rsidR="008E7503" w:rsidRPr="00996DFF" w:rsidRDefault="004C4517" w:rsidP="004C45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Volodymyr Ivanov. 2015. Environmental </w:t>
            </w:r>
            <w:proofErr w:type="spellStart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Micobiology</w:t>
            </w:r>
            <w:proofErr w:type="spellEnd"/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 for Engineers. CRC Press</w:t>
            </w:r>
          </w:p>
        </w:tc>
      </w:tr>
      <w:tr w:rsidR="008E7503" w:rsidRPr="00864E2D" w14:paraId="4130F0C4" w14:textId="77777777" w:rsidTr="7BA7B0A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996D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96DFF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50A723E" w14:textId="77777777" w:rsidR="008E7503" w:rsidRPr="00341CE6" w:rsidRDefault="008E7503" w:rsidP="00996DFF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5F192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7A69CBD2" w14:textId="77777777" w:rsidR="00096F50" w:rsidRPr="00341CE6" w:rsidRDefault="00341CE6" w:rsidP="00096F5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5F1924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5F192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  <w:p w14:paraId="61CDCEAD" w14:textId="77777777" w:rsidR="008E7503" w:rsidRPr="005F1924" w:rsidRDefault="008E7503" w:rsidP="005F19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5C151CF" w14:textId="77777777" w:rsidTr="7BA7B0A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77777777" w:rsidR="008E7503" w:rsidRPr="00E55635" w:rsidRDefault="008E7503" w:rsidP="00E5563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556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027E11F" w14:textId="77777777" w:rsidR="00E55635" w:rsidRPr="00E55635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55635" w:rsidRPr="00E55635">
              <w:rPr>
                <w:rFonts w:ascii="Verdana" w:hAnsi="Verdana"/>
                <w:sz w:val="20"/>
                <w:szCs w:val="20"/>
              </w:rPr>
              <w:t>wykład: zaliczenie pisemne, wymaganych 60% poprawnych odpowiedzi na zaliczenie</w:t>
            </w:r>
          </w:p>
          <w:p w14:paraId="4130383A" w14:textId="77777777" w:rsidR="00E55635" w:rsidRPr="00E55635" w:rsidRDefault="00E55635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>- ćwiczenia w laborat</w:t>
            </w:r>
            <w:r w:rsidR="00981312">
              <w:rPr>
                <w:rFonts w:ascii="Verdana" w:hAnsi="Verdana"/>
                <w:sz w:val="20"/>
                <w:szCs w:val="20"/>
              </w:rPr>
              <w:t>o</w:t>
            </w:r>
            <w:r w:rsidRPr="00E55635">
              <w:rPr>
                <w:rFonts w:ascii="Verdana" w:hAnsi="Verdana"/>
                <w:sz w:val="20"/>
                <w:szCs w:val="20"/>
              </w:rPr>
              <w:t>rium: zaliczone sprawozdania z ćwiczeń laboratoryjnych</w:t>
            </w:r>
            <w:r w:rsidRPr="00E556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1E1BB60" w14:textId="55CB33E6" w:rsidR="008E7503" w:rsidRPr="00864E2D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7BA7B0A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326C10C" w14:textId="77777777" w:rsidTr="7BA7B0A2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899E7E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12</w:t>
            </w:r>
          </w:p>
          <w:p w14:paraId="6F228310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E13AA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13AAE">
              <w:rPr>
                <w:rFonts w:ascii="Verdana" w:hAnsi="Verdana"/>
                <w:sz w:val="20"/>
                <w:szCs w:val="20"/>
              </w:rPr>
              <w:t>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53C9CFA8" w14:textId="77777777" w:rsidR="00662F58" w:rsidRPr="00E13AAE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konsultacje: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8</w:t>
            </w:r>
          </w:p>
          <w:p w14:paraId="3881594D" w14:textId="77777777" w:rsidR="003166C6" w:rsidRPr="00E13AAE" w:rsidRDefault="00662F58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E13AAE">
              <w:rPr>
                <w:rFonts w:ascii="Verdana" w:hAnsi="Verdana"/>
                <w:sz w:val="20"/>
                <w:szCs w:val="20"/>
              </w:rPr>
              <w:t>zalicznie</w:t>
            </w:r>
            <w:proofErr w:type="spellEnd"/>
            <w:r w:rsidRPr="00E13AAE">
              <w:rPr>
                <w:rFonts w:ascii="Verdana" w:hAnsi="Verdana"/>
                <w:sz w:val="20"/>
                <w:szCs w:val="20"/>
              </w:rPr>
              <w:t>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1A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39</w:t>
            </w:r>
          </w:p>
          <w:p w14:paraId="5043CB0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5ED22C" w14:textId="77777777" w:rsidTr="7BA7B0A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6EFD72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127C89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EB14BFA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244E77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5</w:t>
            </w:r>
          </w:p>
          <w:p w14:paraId="48F29038" w14:textId="77777777" w:rsidR="008E7503" w:rsidRPr="00E13AAE" w:rsidRDefault="008E7503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38</w:t>
            </w:r>
          </w:p>
          <w:p w14:paraId="6537F28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C1B0DE" w14:textId="77777777" w:rsidTr="7BA7B0A2">
        <w:trPr>
          <w:trHeight w:val="21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9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77</w:t>
            </w:r>
          </w:p>
        </w:tc>
      </w:tr>
      <w:tr w:rsidR="008E7503" w:rsidRPr="00864E2D" w14:paraId="08101542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E871BC" w14:textId="77777777" w:rsidR="007D2D65" w:rsidRDefault="00000000"/>
    <w:sectPr w:rsidR="007D2D65" w:rsidSect="0058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23F62"/>
    <w:multiLevelType w:val="hybridMultilevel"/>
    <w:tmpl w:val="B3BCBB9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83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825309">
    <w:abstractNumId w:val="5"/>
  </w:num>
  <w:num w:numId="3" w16cid:durableId="833685961">
    <w:abstractNumId w:val="2"/>
  </w:num>
  <w:num w:numId="4" w16cid:durableId="948856418">
    <w:abstractNumId w:val="0"/>
  </w:num>
  <w:num w:numId="5" w16cid:durableId="1372458682">
    <w:abstractNumId w:val="6"/>
  </w:num>
  <w:num w:numId="6" w16cid:durableId="772283102">
    <w:abstractNumId w:val="3"/>
  </w:num>
  <w:num w:numId="7" w16cid:durableId="417363074">
    <w:abstractNumId w:val="7"/>
  </w:num>
  <w:num w:numId="8" w16cid:durableId="873269249">
    <w:abstractNumId w:val="8"/>
  </w:num>
  <w:num w:numId="9" w16cid:durableId="1153065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LG0MDU0MTM2NTNR0lEKTi0uzszPAykwrgUAgOGKPywAAAA="/>
  </w:docVars>
  <w:rsids>
    <w:rsidRoot w:val="008E7503"/>
    <w:rsid w:val="00096F50"/>
    <w:rsid w:val="000A7D3C"/>
    <w:rsid w:val="000C5820"/>
    <w:rsid w:val="001455E5"/>
    <w:rsid w:val="001D10C7"/>
    <w:rsid w:val="00205B16"/>
    <w:rsid w:val="002127C1"/>
    <w:rsid w:val="00284486"/>
    <w:rsid w:val="002A1AEE"/>
    <w:rsid w:val="002A3988"/>
    <w:rsid w:val="003166C6"/>
    <w:rsid w:val="00325050"/>
    <w:rsid w:val="00341CE6"/>
    <w:rsid w:val="003C62E2"/>
    <w:rsid w:val="003D45D9"/>
    <w:rsid w:val="004053B5"/>
    <w:rsid w:val="00450608"/>
    <w:rsid w:val="004556E6"/>
    <w:rsid w:val="004C4517"/>
    <w:rsid w:val="004D2D37"/>
    <w:rsid w:val="00580871"/>
    <w:rsid w:val="005B78DB"/>
    <w:rsid w:val="005F1924"/>
    <w:rsid w:val="006556AA"/>
    <w:rsid w:val="00662F58"/>
    <w:rsid w:val="006926DB"/>
    <w:rsid w:val="006A06B2"/>
    <w:rsid w:val="007259E9"/>
    <w:rsid w:val="00747273"/>
    <w:rsid w:val="007837EA"/>
    <w:rsid w:val="007901BD"/>
    <w:rsid w:val="007C5E5F"/>
    <w:rsid w:val="00852B1B"/>
    <w:rsid w:val="0086544F"/>
    <w:rsid w:val="008E7503"/>
    <w:rsid w:val="009750A9"/>
    <w:rsid w:val="00981312"/>
    <w:rsid w:val="0099524F"/>
    <w:rsid w:val="00996DFF"/>
    <w:rsid w:val="009D2B88"/>
    <w:rsid w:val="00A100BE"/>
    <w:rsid w:val="00A66E97"/>
    <w:rsid w:val="00AC139C"/>
    <w:rsid w:val="00B80738"/>
    <w:rsid w:val="00BB1CBF"/>
    <w:rsid w:val="00C04E3A"/>
    <w:rsid w:val="00C050A2"/>
    <w:rsid w:val="00C22864"/>
    <w:rsid w:val="00C6323D"/>
    <w:rsid w:val="00D163D1"/>
    <w:rsid w:val="00D301F0"/>
    <w:rsid w:val="00D64DC7"/>
    <w:rsid w:val="00DB2C30"/>
    <w:rsid w:val="00DD5D5F"/>
    <w:rsid w:val="00E13AAE"/>
    <w:rsid w:val="00E55635"/>
    <w:rsid w:val="00E67FD8"/>
    <w:rsid w:val="00E81E0E"/>
    <w:rsid w:val="00EC7363"/>
    <w:rsid w:val="00EF7D7B"/>
    <w:rsid w:val="00F420C0"/>
    <w:rsid w:val="00F65113"/>
    <w:rsid w:val="79F3EE07"/>
    <w:rsid w:val="7BA7B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A8C7"/>
  <w15:docId w15:val="{23EDB901-EA90-44D4-B8DB-918B25A6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st">
    <w:name w:val="st"/>
    <w:basedOn w:val="Domylnaczcionkaakapitu"/>
    <w:rsid w:val="004C4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18</cp:revision>
  <dcterms:created xsi:type="dcterms:W3CDTF">2019-04-17T17:32:00Z</dcterms:created>
  <dcterms:modified xsi:type="dcterms:W3CDTF">2022-11-19T17:42:00Z</dcterms:modified>
</cp:coreProperties>
</file>