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AE9" w:rsidRDefault="006E0AE9">
      <w:pPr>
        <w:spacing w:after="11" w:line="231" w:lineRule="auto"/>
        <w:ind w:firstLine="533"/>
        <w:jc w:val="right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 xml:space="preserve">Załącznik Nr 5                                                                                                             </w:t>
      </w:r>
    </w:p>
    <w:p w:rsidR="00177356" w:rsidRDefault="006E0AE9">
      <w:pPr>
        <w:spacing w:after="11" w:line="231" w:lineRule="auto"/>
        <w:ind w:firstLine="533"/>
        <w:jc w:val="right"/>
      </w:pPr>
      <w:bookmarkStart w:id="0" w:name="_GoBack"/>
      <w:bookmarkEnd w:id="0"/>
      <w:r>
        <w:rPr>
          <w:rFonts w:ascii="Verdana" w:eastAsia="Verdana" w:hAnsi="Verdana" w:cs="Verdana"/>
          <w:b/>
          <w:sz w:val="16"/>
        </w:rPr>
        <w:t xml:space="preserve">        do ZARZĄDZENIA Nr 21/2019</w:t>
      </w: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b/>
          <w:sz w:val="20"/>
        </w:rPr>
        <w:t xml:space="preserve"> </w:t>
      </w:r>
    </w:p>
    <w:p w:rsidR="00177356" w:rsidRDefault="006E0AE9">
      <w:pPr>
        <w:spacing w:after="0"/>
        <w:ind w:left="-5" w:hanging="10"/>
      </w:pPr>
      <w:r>
        <w:rPr>
          <w:rFonts w:ascii="Verdana" w:eastAsia="Verdana" w:hAnsi="Verdana" w:cs="Verdana"/>
          <w:b/>
          <w:sz w:val="20"/>
        </w:rPr>
        <w:t xml:space="preserve">SYLABUS PRZEDMIOTU/MODUŁU ZAJĘĆ NA STUDIACH </w:t>
      </w:r>
    </w:p>
    <w:p w:rsidR="00177356" w:rsidRDefault="006E0AE9">
      <w:pPr>
        <w:spacing w:after="161"/>
        <w:ind w:left="-5" w:hanging="10"/>
      </w:pPr>
      <w:r>
        <w:rPr>
          <w:rFonts w:ascii="Verdana" w:eastAsia="Verdana" w:hAnsi="Verdana" w:cs="Verdana"/>
          <w:b/>
          <w:sz w:val="20"/>
        </w:rPr>
        <w:t xml:space="preserve">WYŻSZYCH/DOKTORANCKICH </w:t>
      </w:r>
    </w:p>
    <w:p w:rsidR="00177356" w:rsidRDefault="006E0AE9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tbl>
      <w:tblPr>
        <w:tblStyle w:val="TableGrid"/>
        <w:tblW w:w="9770" w:type="dxa"/>
        <w:tblInd w:w="0" w:type="dxa"/>
        <w:tblCellMar>
          <w:top w:w="48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9283"/>
      </w:tblGrid>
      <w:tr w:rsidR="00177356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103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Nazwa </w:t>
            </w:r>
            <w:r>
              <w:rPr>
                <w:rFonts w:ascii="Verdana" w:eastAsia="Verdana" w:hAnsi="Verdana" w:cs="Verdana"/>
                <w:sz w:val="20"/>
              </w:rPr>
              <w:t xml:space="preserve">przedmiotu/modułu w języku polskim oraz angielskim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Hydrogeologia górnicza/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Mining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hydrogeology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</w:tr>
      <w:tr w:rsidR="00177356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Dyscyplina 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Nauki o Ziemi i środowisku </w:t>
            </w:r>
          </w:p>
        </w:tc>
      </w:tr>
      <w:tr w:rsidR="00177356">
        <w:trPr>
          <w:trHeight w:val="73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Język wykładowy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Język polski </w:t>
            </w:r>
          </w:p>
        </w:tc>
      </w:tr>
      <w:tr w:rsidR="00177356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Jednostka prowadząca przedmiot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WNZKS, Instytut Nauk Geologicznych, Zakład Hydrogeologii Stosowanej </w:t>
            </w:r>
          </w:p>
        </w:tc>
      </w:tr>
      <w:tr w:rsidR="00177356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5.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103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Kod przedmiotu/modułu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USOS </w:t>
            </w:r>
          </w:p>
        </w:tc>
      </w:tr>
      <w:tr w:rsidR="00177356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6.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 w:right="1962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Rodzaj przedmiotu/modułu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(obowiązkowy lub do wyboru) </w:t>
            </w:r>
            <w:r>
              <w:rPr>
                <w:rFonts w:ascii="Verdana" w:eastAsia="Verdana" w:hAnsi="Verdana" w:cs="Verdana"/>
                <w:sz w:val="20"/>
              </w:rPr>
              <w:t xml:space="preserve">obowiązkowy </w:t>
            </w:r>
          </w:p>
        </w:tc>
      </w:tr>
      <w:tr w:rsidR="00177356">
        <w:trPr>
          <w:trHeight w:val="73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7.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Kierunek studiów (specjalność/specjalizacja)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Inżynieria Geologiczna </w:t>
            </w:r>
          </w:p>
        </w:tc>
      </w:tr>
      <w:tr w:rsidR="00177356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8.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103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Poziom studiów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(I stopień, II stopień, jednolite studia magisterskie, studia doktoranckie)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I stopień </w:t>
            </w:r>
          </w:p>
        </w:tc>
      </w:tr>
      <w:tr w:rsidR="00177356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9.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Rok studiów </w:t>
            </w:r>
            <w:r>
              <w:rPr>
                <w:rFonts w:ascii="Verdana" w:eastAsia="Verdana" w:hAnsi="Verdana" w:cs="Verdana"/>
                <w:i/>
                <w:sz w:val="20"/>
              </w:rPr>
              <w:t>(jeśli obowiązuje</w:t>
            </w:r>
            <w:r>
              <w:rPr>
                <w:rFonts w:ascii="Verdana" w:eastAsia="Verdana" w:hAnsi="Verdana" w:cs="Verdana"/>
                <w:sz w:val="20"/>
              </w:rPr>
              <w:t xml:space="preserve">)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III </w:t>
            </w:r>
          </w:p>
        </w:tc>
      </w:tr>
      <w:tr w:rsidR="00177356">
        <w:trPr>
          <w:trHeight w:val="73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10.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 w:right="5942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Semestr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(zimowy lub letni) </w:t>
            </w:r>
            <w:r>
              <w:rPr>
                <w:rFonts w:ascii="Verdana" w:eastAsia="Verdana" w:hAnsi="Verdana" w:cs="Verdana"/>
                <w:sz w:val="20"/>
              </w:rPr>
              <w:t xml:space="preserve">letni </w:t>
            </w:r>
          </w:p>
        </w:tc>
      </w:tr>
      <w:tr w:rsidR="00177356">
        <w:trPr>
          <w:trHeight w:val="1826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11.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Forma zajęć i liczba godzin </w:t>
            </w:r>
          </w:p>
          <w:p w:rsidR="00177356" w:rsidRDefault="006E0AE9">
            <w:pPr>
              <w:spacing w:after="101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Wykład: 22 </w:t>
            </w:r>
          </w:p>
          <w:p w:rsidR="00177356" w:rsidRDefault="006E0AE9">
            <w:pPr>
              <w:spacing w:after="101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Ćwiczenia: 24 </w:t>
            </w:r>
          </w:p>
          <w:p w:rsidR="00177356" w:rsidRDefault="006E0AE9">
            <w:pPr>
              <w:spacing w:after="103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Metody uczenia się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Wykład multimedialny, ćwiczenia praktyczne, wykonywanie zadań samodzielnie,  </w:t>
            </w:r>
          </w:p>
        </w:tc>
      </w:tr>
      <w:tr w:rsidR="00177356">
        <w:trPr>
          <w:trHeight w:val="146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12.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Imię, nazwisko, tytuł/stopień naukowy osoby prowadzącej zajęcia </w:t>
            </w:r>
          </w:p>
          <w:p w:rsidR="00177356" w:rsidRDefault="006E0AE9">
            <w:pPr>
              <w:spacing w:after="0" w:line="362" w:lineRule="auto"/>
              <w:ind w:left="108" w:right="2670"/>
            </w:pPr>
            <w:r>
              <w:rPr>
                <w:rFonts w:ascii="Verdana" w:eastAsia="Verdana" w:hAnsi="Verdana" w:cs="Verdana"/>
                <w:sz w:val="20"/>
              </w:rPr>
              <w:t xml:space="preserve">Koordynator: dr hab. Henryk Marszałek, prof.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UWr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Wykładowca: </w:t>
            </w:r>
            <w:r>
              <w:rPr>
                <w:rFonts w:ascii="Verdana" w:eastAsia="Verdana" w:hAnsi="Verdana" w:cs="Verdana"/>
                <w:sz w:val="20"/>
              </w:rPr>
              <w:t xml:space="preserve">dr hab. Henryk Marszałek, prof.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UWr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Prowadzący ćwiczenia: dr Mirosław Wąsik </w:t>
            </w:r>
          </w:p>
        </w:tc>
      </w:tr>
      <w:tr w:rsidR="00177356">
        <w:trPr>
          <w:trHeight w:val="122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>13.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118" w:line="242" w:lineRule="auto"/>
              <w:ind w:left="108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Wymagania wstępne w zakresie wiedzy, umiejętności i kompetencji społecznych dla przedmiotu/modułu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08" w:right="63"/>
            </w:pPr>
            <w:r>
              <w:rPr>
                <w:rFonts w:ascii="Verdana" w:eastAsia="Verdana" w:hAnsi="Verdana" w:cs="Verdana"/>
                <w:sz w:val="20"/>
              </w:rPr>
              <w:t>Wiedza z zakresu przepływu wód podziemnych w środowisku skalnym i wystę</w:t>
            </w:r>
            <w:r>
              <w:rPr>
                <w:rFonts w:ascii="Verdana" w:eastAsia="Verdana" w:hAnsi="Verdana" w:cs="Verdana"/>
                <w:sz w:val="20"/>
              </w:rPr>
              <w:t xml:space="preserve">powania złóż surowców naturalnych Polski </w:t>
            </w:r>
          </w:p>
        </w:tc>
      </w:tr>
      <w:tr w:rsidR="00177356">
        <w:trPr>
          <w:trHeight w:val="3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14.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Cele przedmiotu </w:t>
            </w:r>
          </w:p>
        </w:tc>
      </w:tr>
    </w:tbl>
    <w:p w:rsidR="00177356" w:rsidRDefault="00177356">
      <w:pPr>
        <w:spacing w:after="0"/>
        <w:ind w:left="-1416" w:right="10451"/>
      </w:pPr>
    </w:p>
    <w:tbl>
      <w:tblPr>
        <w:tblStyle w:val="TableGrid"/>
        <w:tblW w:w="9770" w:type="dxa"/>
        <w:tblInd w:w="0" w:type="dxa"/>
        <w:tblCellMar>
          <w:top w:w="5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4640"/>
        <w:gridCol w:w="4643"/>
      </w:tblGrid>
      <w:tr w:rsidR="00177356">
        <w:trPr>
          <w:trHeight w:val="290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177356"/>
        </w:tc>
        <w:tc>
          <w:tcPr>
            <w:tcW w:w="9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2"/>
              <w:ind w:left="108"/>
            </w:pPr>
            <w:r>
              <w:rPr>
                <w:rFonts w:ascii="Verdana" w:eastAsia="Verdana" w:hAnsi="Verdana" w:cs="Verdana"/>
                <w:sz w:val="20"/>
              </w:rPr>
              <w:t>Zapoznanie z podstawowymi problemami zawodnienia złóż surowców naturalnych Polski i odwadniania kopal</w:t>
            </w:r>
            <w:r>
              <w:rPr>
                <w:rFonts w:ascii="Verdana" w:eastAsia="Verdana" w:hAnsi="Verdana" w:cs="Verdana"/>
                <w:sz w:val="20"/>
              </w:rPr>
              <w:t xml:space="preserve">ń podziemnych i odkrywkowych. Efektem kształcenia jest opanowanie podstawowej wiedzy z zakresu hydrogeologicznej obsługi kopalń i problematyki odwadnia złóż.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Podstawowym celem ćwiczeń jest praktyczna nauka projektowania odwodnienia dla </w:t>
            </w:r>
            <w:r>
              <w:rPr>
                <w:rFonts w:ascii="Verdana" w:eastAsia="Verdana" w:hAnsi="Verdana" w:cs="Verdana"/>
                <w:sz w:val="20"/>
              </w:rPr>
              <w:t>wkopów otwierających i kopalń odkrywkowych. Student kończący ćwiczenia powinien posiadać umiejętność tworzenia dokumentacji odwodnienia dla wybranych obiektów górniczych na poziomie umożliwiającym jej zatwierdzenie w odpowiednich organach administracji pań</w:t>
            </w:r>
            <w:r>
              <w:rPr>
                <w:rFonts w:ascii="Verdana" w:eastAsia="Verdana" w:hAnsi="Verdana" w:cs="Verdana"/>
                <w:sz w:val="20"/>
              </w:rPr>
              <w:t xml:space="preserve">stwowej. Powinien być również przygotowany do hydrogeologicznej obsługi kopalń. </w:t>
            </w:r>
          </w:p>
        </w:tc>
      </w:tr>
      <w:tr w:rsidR="00177356">
        <w:trPr>
          <w:trHeight w:val="976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>15.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60" w:line="359" w:lineRule="auto"/>
              <w:ind w:left="108" w:right="6241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Treści programowe</w:t>
            </w: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Wykłady: </w:t>
            </w:r>
          </w:p>
          <w:p w:rsidR="00177356" w:rsidRDefault="006E0AE9">
            <w:pPr>
              <w:spacing w:after="2" w:line="241" w:lineRule="auto"/>
              <w:ind w:left="108" w:right="62"/>
            </w:pPr>
            <w:r>
              <w:rPr>
                <w:rFonts w:ascii="Verdana" w:eastAsia="Verdana" w:hAnsi="Verdana" w:cs="Verdana"/>
                <w:sz w:val="20"/>
              </w:rPr>
              <w:t>Przedmiot, zakres i metody badawcze w hydrogeologii górniczej. Czynniki naturalne i sztuczne (górniczo-techniczne) wpływające na kształtowan</w:t>
            </w:r>
            <w:r>
              <w:rPr>
                <w:rFonts w:ascii="Verdana" w:eastAsia="Verdana" w:hAnsi="Verdana" w:cs="Verdana"/>
                <w:sz w:val="20"/>
              </w:rPr>
              <w:t>ie się dopływów do kopalń (m.in. wielkość opadów atmosferycznych, hydrografia, warunki hydrogeologiczne). Czynniki determinujące stopień zawodnienia złóż (sposób eksploatacji, system rozcięcia złoża, głębokość eksploatacji). Hydrogeologiczna klasyfikacja z</w:t>
            </w:r>
            <w:r>
              <w:rPr>
                <w:rFonts w:ascii="Verdana" w:eastAsia="Verdana" w:hAnsi="Verdana" w:cs="Verdana"/>
                <w:sz w:val="20"/>
              </w:rPr>
              <w:t>łóż. Warunki hydrogeologiczne polskich złóż (węgla kamiennego i brunatnego, miedzi, cynku i ołowiu, żelaza, siarki, soli) i zawodnienie kopalń. Zagrożenie wodne w kopalniach i sposoby ich zwalczania. Prognozowanie wielkości dopływu wody do kopalni. Rozpozn</w:t>
            </w:r>
            <w:r>
              <w:rPr>
                <w:rFonts w:ascii="Verdana" w:eastAsia="Verdana" w:hAnsi="Verdana" w:cs="Verdana"/>
                <w:sz w:val="20"/>
              </w:rPr>
              <w:t>anie warunków wodnych i badania hydrogeologiczne w rejonie złóż (określenie właściwości hydrogeologiczne skał, warunków hydrodynamicznych). Odwadnianie kopalń podziemnych i odkrywkowych. Metody odwadniania górotworu (studzienna, górnicza, otwarta i kombino</w:t>
            </w:r>
            <w:r>
              <w:rPr>
                <w:rFonts w:ascii="Verdana" w:eastAsia="Verdana" w:hAnsi="Verdana" w:cs="Verdana"/>
                <w:sz w:val="20"/>
              </w:rPr>
              <w:t xml:space="preserve">wana). Sposoby odprowadzania wód kopalnianych. Schematy odwadniania kopalń. Wyrobiska odwadniające.  Metody głębienia i odwadniania szybów. </w:t>
            </w:r>
          </w:p>
          <w:p w:rsidR="00177356" w:rsidRDefault="006E0AE9">
            <w:pPr>
              <w:spacing w:after="2" w:line="240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>Specjalne środki odwadniania górotworu. Specjalne sposoby odwadniania górotworu. Metody odwadniania zwałów. Zatapia</w:t>
            </w:r>
            <w:r>
              <w:rPr>
                <w:rFonts w:ascii="Verdana" w:eastAsia="Verdana" w:hAnsi="Verdana" w:cs="Verdana"/>
                <w:sz w:val="20"/>
              </w:rPr>
              <w:t xml:space="preserve">nie kopalń likwidowanych. Wpływ zatapiania kopalń na warunki wodne na powierzchni terenu. Gospodarka wodami kopalnianymi. </w:t>
            </w:r>
          </w:p>
          <w:p w:rsidR="00177356" w:rsidRDefault="006E0AE9">
            <w:pPr>
              <w:spacing w:after="161" w:line="240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>Zanieczyszczenie i jakość wód kopalnianych. Zmiany w środowisku (także wodnym) pod wpływem działalności górniczej. Hydrogeologiczne s</w:t>
            </w:r>
            <w:r>
              <w:rPr>
                <w:rFonts w:ascii="Verdana" w:eastAsia="Verdana" w:hAnsi="Verdana" w:cs="Verdana"/>
                <w:sz w:val="20"/>
              </w:rPr>
              <w:t xml:space="preserve">zkody górnicze. Hydrogeologiczna obsługa kopalń. </w:t>
            </w:r>
          </w:p>
          <w:p w:rsidR="00177356" w:rsidRDefault="006E0AE9">
            <w:pPr>
              <w:spacing w:after="161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Ćwiczenia: </w:t>
            </w:r>
          </w:p>
          <w:p w:rsidR="00177356" w:rsidRDefault="006E0AE9">
            <w:pPr>
              <w:spacing w:after="0"/>
              <w:ind w:left="108" w:right="4"/>
            </w:pPr>
            <w:r>
              <w:rPr>
                <w:rFonts w:ascii="Verdana" w:eastAsia="Verdana" w:hAnsi="Verdana" w:cs="Verdana"/>
                <w:sz w:val="20"/>
              </w:rPr>
              <w:t xml:space="preserve">Opracowanie modelu warunków hydrogeologicznych rejonu złoża węgla brunatnego. Analiza danych z wierceń oraz wykonanie dokumentacyjnej mapy geologicznego </w:t>
            </w:r>
            <w:r>
              <w:rPr>
                <w:rFonts w:ascii="Verdana" w:eastAsia="Verdana" w:hAnsi="Verdana" w:cs="Verdana"/>
                <w:sz w:val="20"/>
              </w:rPr>
              <w:t xml:space="preserve">rozpoznania złoża. Wykonanie przekroju hydrogeologicznego przez obszar złoża oraz jego interpretacja. Wykonanie map odzwierciedlających naturalne warunki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geologicznohydrogeologiczne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w rejonie złoża: mapa ciśnień hydrostatycznych z zaznaczonym zasięgiem wys</w:t>
            </w:r>
            <w:r>
              <w:rPr>
                <w:rFonts w:ascii="Verdana" w:eastAsia="Verdana" w:hAnsi="Verdana" w:cs="Verdana"/>
                <w:sz w:val="20"/>
              </w:rPr>
              <w:t xml:space="preserve">tępowania poziomów wodonośnych, mapa współczynników wodoprzewodności T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nadwęglowego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i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podwęglowego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poziomu wodonośnego, mapa współczynnika sprężystej odsączalności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podwęglowego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poziomu wodonośnego, mapa miąższości pokładu węgla brunatnego z zaznaczeniem gr</w:t>
            </w:r>
            <w:r>
              <w:rPr>
                <w:rFonts w:ascii="Verdana" w:eastAsia="Verdana" w:hAnsi="Verdana" w:cs="Verdana"/>
                <w:sz w:val="20"/>
              </w:rPr>
              <w:t>anicy bilansowości, mapy warstwicowe stropu i spągu węgla brunatnego, mapa współczynnika nadkładu do węgla. Szczegółowa analiza warunków hydrogeologicznych w rejonie złoża na podstawie map i przekrojów. Prognozowanie przebiegu odwadniania zadanej lokalizac</w:t>
            </w:r>
            <w:r>
              <w:rPr>
                <w:rFonts w:ascii="Verdana" w:eastAsia="Verdana" w:hAnsi="Verdana" w:cs="Verdana"/>
                <w:sz w:val="20"/>
              </w:rPr>
              <w:t>ji wkopu otwierającego i postępie robót. Określenie globalnej wielkości dopływu wód z górotworu do odkrywki: problem zwałowania, metoda wielkiej studni. Górniczy sposób odwadniania: przyjęcie lokalizacji szybu odwadniającego.</w:t>
            </w: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</w:p>
        </w:tc>
      </w:tr>
      <w:tr w:rsidR="00177356">
        <w:trPr>
          <w:trHeight w:val="1246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16.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Zakładane efekty uczen</w:t>
            </w:r>
            <w:r>
              <w:rPr>
                <w:rFonts w:ascii="Verdana" w:eastAsia="Verdana" w:hAnsi="Verdana" w:cs="Verdana"/>
                <w:sz w:val="20"/>
              </w:rPr>
              <w:t xml:space="preserve">ia się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color w:val="FF0000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color w:val="FF0000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W_1 Ma podstawową wiedzę o procesach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 w:line="242" w:lineRule="auto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Symbole odpowiednich kierunkowych efektów uczenia się: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</w:tr>
    </w:tbl>
    <w:p w:rsidR="00177356" w:rsidRDefault="00177356">
      <w:pPr>
        <w:spacing w:after="0"/>
        <w:ind w:left="-1416" w:right="10451"/>
      </w:pPr>
    </w:p>
    <w:tbl>
      <w:tblPr>
        <w:tblStyle w:val="TableGrid"/>
        <w:tblW w:w="9770" w:type="dxa"/>
        <w:tblInd w:w="0" w:type="dxa"/>
        <w:tblCellMar>
          <w:top w:w="5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4640"/>
        <w:gridCol w:w="615"/>
        <w:gridCol w:w="4028"/>
      </w:tblGrid>
      <w:tr w:rsidR="00177356">
        <w:trPr>
          <w:trHeight w:val="917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177356"/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 w:line="260" w:lineRule="auto"/>
              <w:ind w:left="108" w:right="38"/>
            </w:pPr>
            <w:r>
              <w:rPr>
                <w:rFonts w:ascii="Verdana" w:eastAsia="Verdana" w:hAnsi="Verdana" w:cs="Verdana"/>
                <w:sz w:val="20"/>
              </w:rPr>
              <w:t xml:space="preserve">powstawania złóż oraz z zakresu hydrogeologii ogólnej, górnictwa i wiertnictwa. Posiada wiedzę na temat metod poszukiwania i dokumentowania złóż kopalin oraz prognozowania wpływu obiektów górniczych na środowisko. </w:t>
            </w:r>
          </w:p>
          <w:p w:rsidR="00177356" w:rsidRDefault="006E0AE9">
            <w:pPr>
              <w:spacing w:after="2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 w:line="260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>W_2 Zna podstawowe metody, w tym progra</w:t>
            </w:r>
            <w:r>
              <w:rPr>
                <w:rFonts w:ascii="Verdana" w:eastAsia="Verdana" w:hAnsi="Verdana" w:cs="Verdana"/>
                <w:sz w:val="20"/>
              </w:rPr>
              <w:t xml:space="preserve">my komputerowe, stosowane przy dokumentowaniu prac z zakresu geologii i hydrogeologii złóż.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2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W_3 Zna rodzaje zagrożeń wodnych i sposoby odwadniania górotworu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color w:val="FF0000"/>
                <w:sz w:val="20"/>
              </w:rPr>
              <w:t xml:space="preserve"> </w:t>
            </w:r>
          </w:p>
          <w:p w:rsidR="00177356" w:rsidRDefault="006E0AE9">
            <w:pPr>
              <w:spacing w:after="0" w:line="260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U_1 Potrafi interpretować wyniki badań geologicznych wykonanych dla potrzeb </w:t>
            </w:r>
            <w:r>
              <w:rPr>
                <w:rFonts w:ascii="Verdana" w:eastAsia="Verdana" w:hAnsi="Verdana" w:cs="Verdana"/>
                <w:sz w:val="20"/>
              </w:rPr>
              <w:t xml:space="preserve">odwadniania złóż. Potrafi skonstruować przekroje i tematyczne mapy hydrogeologiczne obszaru złożowego. </w:t>
            </w:r>
          </w:p>
          <w:p w:rsidR="00177356" w:rsidRDefault="006E0AE9">
            <w:pPr>
              <w:spacing w:after="2"/>
              <w:ind w:left="108"/>
            </w:pPr>
            <w:r>
              <w:rPr>
                <w:rFonts w:ascii="Verdana" w:eastAsia="Verdana" w:hAnsi="Verdana" w:cs="Verdana"/>
                <w:color w:val="FF0000"/>
                <w:sz w:val="20"/>
              </w:rPr>
              <w:t xml:space="preserve"> </w:t>
            </w:r>
          </w:p>
          <w:p w:rsidR="00177356" w:rsidRDefault="006E0AE9">
            <w:pPr>
              <w:spacing w:after="0" w:line="260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U_2 Potrafi dokonać oceny warunków hydrogeologicznych i opracować model warunków hydrogeologicznych rejonu złożowego. Potrafi ponadto zaprojektować i </w:t>
            </w:r>
            <w:r>
              <w:rPr>
                <w:rFonts w:ascii="Verdana" w:eastAsia="Verdana" w:hAnsi="Verdana" w:cs="Verdana"/>
                <w:sz w:val="20"/>
              </w:rPr>
              <w:t xml:space="preserve">wykonać projekt odwadniania złoża. </w:t>
            </w:r>
          </w:p>
          <w:p w:rsidR="00177356" w:rsidRDefault="006E0AE9">
            <w:pPr>
              <w:spacing w:after="2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2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U_3 Potrafi prognozować przebieg odwadniania odkrywki oraz przeprowadzić obliczenia wielkości dopływu wód z górotworu do odkrywki i szybu.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color w:val="FF0000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K_1 Ma świadomość wpływu działalności górniczej i odwadniania górotworu na ś</w:t>
            </w:r>
            <w:r>
              <w:rPr>
                <w:rFonts w:ascii="Verdana" w:eastAsia="Verdana" w:hAnsi="Verdana" w:cs="Verdana"/>
                <w:sz w:val="20"/>
              </w:rPr>
              <w:t xml:space="preserve">rodowisko przyrodnicze </w:t>
            </w:r>
          </w:p>
        </w:tc>
        <w:tc>
          <w:tcPr>
            <w:tcW w:w="4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K1_W03, K1_W04, InżK_W01,InżK_W02,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InżK_W05 </w:t>
            </w:r>
          </w:p>
          <w:p w:rsidR="00177356" w:rsidRDefault="006E0AE9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K1_W06, InżK_W03, InżK_W09 </w:t>
            </w:r>
          </w:p>
          <w:p w:rsidR="00177356" w:rsidRDefault="006E0AE9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InżK_W07 </w:t>
            </w:r>
          </w:p>
          <w:p w:rsidR="00177356" w:rsidRDefault="006E0AE9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K1_U05, InżK_U01, InżK_U05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K1_U12, InżK_U02, InżK_U03, InżK_U06 </w:t>
            </w:r>
          </w:p>
          <w:p w:rsidR="00177356" w:rsidRDefault="006E0AE9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InżK_U02, InżK_U08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K1_K08, InżK_K01 </w:t>
            </w:r>
          </w:p>
          <w:p w:rsidR="00177356" w:rsidRDefault="006E0AE9">
            <w:pPr>
              <w:spacing w:after="0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</w:tr>
      <w:tr w:rsidR="00177356">
        <w:trPr>
          <w:trHeight w:val="467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>17.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2" w:line="359" w:lineRule="auto"/>
              <w:ind w:left="108" w:right="651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Literatura obowiązkowa i zalecana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(źródła, opracowania, podręczniki, itp.) </w:t>
            </w:r>
            <w:r>
              <w:rPr>
                <w:rFonts w:ascii="Verdana" w:eastAsia="Verdana" w:hAnsi="Verdana" w:cs="Verdana"/>
                <w:sz w:val="20"/>
              </w:rPr>
              <w:t xml:space="preserve">Literatura obowiązkowa: </w:t>
            </w:r>
          </w:p>
          <w:p w:rsidR="00177356" w:rsidRDefault="006E0AE9">
            <w:pPr>
              <w:spacing w:after="0"/>
              <w:ind w:left="108"/>
            </w:pPr>
            <w:proofErr w:type="spellStart"/>
            <w:r>
              <w:rPr>
                <w:rFonts w:ascii="Verdana" w:eastAsia="Verdana" w:hAnsi="Verdana" w:cs="Verdana"/>
                <w:sz w:val="20"/>
              </w:rPr>
              <w:t>Bieniewski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J., 1983. Odwadnianie kopalń. Skrypt Pol.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Wr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., Wrocław.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Matysik A., 2002. Odwadnianie kopal</w:t>
            </w:r>
            <w:r>
              <w:rPr>
                <w:rFonts w:ascii="Verdana" w:eastAsia="Verdana" w:hAnsi="Verdana" w:cs="Verdana"/>
                <w:sz w:val="20"/>
              </w:rPr>
              <w:t xml:space="preserve">ń podziemnych. Nauka i Technika Górnicza. </w:t>
            </w:r>
          </w:p>
          <w:p w:rsidR="00177356" w:rsidRDefault="006E0AE9">
            <w:pPr>
              <w:spacing w:after="2"/>
              <w:ind w:left="108"/>
            </w:pPr>
            <w:r>
              <w:rPr>
                <w:rFonts w:ascii="Verdana" w:eastAsia="Verdana" w:hAnsi="Verdana" w:cs="Verdana"/>
                <w:sz w:val="20"/>
              </w:rPr>
              <w:t>Uczelniane Wyd. Nauk.-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Dydakt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. AGH, Kraków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Rogoż M., 2004. Hydrogeologia kopalniana z podstawami hydrogeologii ogólnej. GIG, Katowice.  </w:t>
            </w:r>
          </w:p>
          <w:p w:rsidR="00177356" w:rsidRDefault="006E0AE9">
            <w:pPr>
              <w:spacing w:after="2" w:line="260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Rogoż M.(red), 1987. Poradnik hydrogeologa w kopalni węgla kamiennego. Wyd. </w:t>
            </w:r>
            <w:r>
              <w:rPr>
                <w:rFonts w:ascii="Verdana" w:eastAsia="Verdana" w:hAnsi="Verdana" w:cs="Verdana"/>
                <w:sz w:val="20"/>
              </w:rPr>
              <w:t xml:space="preserve">Śląsk, Katowice. 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Sozański J., 1981. Odwadnianie kopalń odkrywkowych. Wyd. Śląsk, Katowice.  </w:t>
            </w:r>
          </w:p>
          <w:p w:rsidR="00177356" w:rsidRDefault="006E0AE9">
            <w:pPr>
              <w:spacing w:after="2"/>
              <w:ind w:left="108"/>
            </w:pPr>
            <w:r>
              <w:rPr>
                <w:rFonts w:ascii="Verdana" w:eastAsia="Verdana" w:hAnsi="Verdana" w:cs="Verdana"/>
                <w:sz w:val="20"/>
              </w:rPr>
              <w:t>Wilk Z. (red), 2003. Hydrogeologia polskich złóż kopalin i problemy wodne górnictwa. Cz. 1,2,3. Uczelniane Wyd. Nauk.-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Dydakt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. AGH, Kraków.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Literatura zalecana: 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Gonet A.,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Macuda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J., 2004. Wiertnictwo hydrogeologiczne. Ucz. Wyd. Nauk.-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Dydakt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. </w:t>
            </w:r>
          </w:p>
          <w:p w:rsidR="00177356" w:rsidRDefault="006E0AE9">
            <w:pPr>
              <w:spacing w:after="2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AGH, Kraków. </w:t>
            </w:r>
          </w:p>
          <w:p w:rsidR="00177356" w:rsidRDefault="006E0AE9">
            <w:pPr>
              <w:spacing w:after="0"/>
              <w:ind w:left="108"/>
            </w:pPr>
            <w:proofErr w:type="spellStart"/>
            <w:r>
              <w:rPr>
                <w:rFonts w:ascii="Verdana" w:eastAsia="Verdana" w:hAnsi="Verdana" w:cs="Verdana"/>
                <w:sz w:val="20"/>
              </w:rPr>
              <w:t>Kamienski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G.N.,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Klimentow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P.P.,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Owczynnikow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A.M., 1956. Hydrogeologia złóż surowców </w:t>
            </w:r>
          </w:p>
        </w:tc>
      </w:tr>
      <w:tr w:rsidR="00177356">
        <w:trPr>
          <w:trHeight w:val="158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177356"/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mineralnych. (tłum. Z ros.), Wyd. Geol. Warszawa  </w:t>
            </w:r>
          </w:p>
          <w:p w:rsidR="00177356" w:rsidRDefault="006E0AE9">
            <w:pPr>
              <w:spacing w:after="0"/>
              <w:ind w:left="108"/>
            </w:pPr>
            <w:proofErr w:type="spellStart"/>
            <w:r>
              <w:rPr>
                <w:rFonts w:ascii="Verdana" w:eastAsia="Verdana" w:hAnsi="Verdana" w:cs="Verdana"/>
                <w:sz w:val="20"/>
              </w:rPr>
              <w:t>Kulma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R., 1995. Podstawy obliczeń filtracji wód podziemnych. Wyd. AGH Kraków. </w:t>
            </w:r>
          </w:p>
          <w:p w:rsidR="00177356" w:rsidRDefault="006E0AE9">
            <w:pPr>
              <w:spacing w:after="0"/>
              <w:ind w:left="108"/>
            </w:pPr>
            <w:proofErr w:type="spellStart"/>
            <w:r>
              <w:rPr>
                <w:rFonts w:ascii="Verdana" w:eastAsia="Verdana" w:hAnsi="Verdana" w:cs="Verdana"/>
                <w:sz w:val="20"/>
              </w:rPr>
              <w:t>Macioszczyk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T.,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Szestakow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W.M., 1983. Dynamika wód podziemnych – metody obliczeń. </w:t>
            </w:r>
          </w:p>
          <w:p w:rsidR="00177356" w:rsidRDefault="006E0AE9">
            <w:pPr>
              <w:spacing w:after="2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WG Warszawa.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Nieć M., 1982: Geologia kopalniana. Wyd. Geol. Warszawa.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Pazdro Z., Kozerski B</w:t>
            </w:r>
            <w:r>
              <w:rPr>
                <w:rFonts w:ascii="Verdana" w:eastAsia="Verdana" w:hAnsi="Verdana" w:cs="Verdana"/>
                <w:sz w:val="20"/>
              </w:rPr>
              <w:t xml:space="preserve">., 1990. Hydrogeologia ogólna. WG Warszawa.  </w:t>
            </w:r>
          </w:p>
        </w:tc>
      </w:tr>
      <w:tr w:rsidR="00177356">
        <w:trPr>
          <w:trHeight w:val="150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18.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  Metody weryfikacji zakładanych efektów uczenia się: </w:t>
            </w:r>
          </w:p>
          <w:p w:rsidR="00177356" w:rsidRDefault="006E0AE9">
            <w:pPr>
              <w:numPr>
                <w:ilvl w:val="0"/>
                <w:numId w:val="1"/>
              </w:numPr>
              <w:spacing w:after="0"/>
            </w:pPr>
            <w:r>
              <w:rPr>
                <w:rFonts w:ascii="Verdana" w:eastAsia="Verdana" w:hAnsi="Verdana" w:cs="Verdana"/>
                <w:sz w:val="20"/>
              </w:rPr>
              <w:t xml:space="preserve">egzamin pisemny: K1_W03, K1_W04, InżK_W01, InżK_W02, InżK_W05, K1_W06, InżK_W03, InżK_W09, InżK_W07,  </w:t>
            </w:r>
          </w:p>
          <w:p w:rsidR="00177356" w:rsidRDefault="006E0AE9">
            <w:pPr>
              <w:numPr>
                <w:ilvl w:val="0"/>
                <w:numId w:val="1"/>
              </w:numPr>
              <w:spacing w:after="0"/>
            </w:pPr>
            <w:r>
              <w:rPr>
                <w:rFonts w:ascii="Verdana" w:eastAsia="Verdana" w:hAnsi="Verdana" w:cs="Verdana"/>
                <w:sz w:val="20"/>
              </w:rPr>
              <w:t xml:space="preserve">przygotowanie i zrealizowanie indywidualnego projektu: K1_W03, K1_W04, InżK_W01,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InżK_W02, InżK_W05, K1_W06, InżK_W03, InżK_W09, InżK_W07, K1_U05, InżK_U01, </w:t>
            </w:r>
          </w:p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InżK_U05, K1_U12, InżK_U02, InżK_U03, InżK_U06, InżK_U08, K1_K08, InżK_K01 </w:t>
            </w:r>
            <w:r>
              <w:rPr>
                <w:rFonts w:ascii="Verdana" w:eastAsia="Verdana" w:hAnsi="Verdana" w:cs="Verdana"/>
                <w:color w:val="FF0000"/>
                <w:sz w:val="20"/>
              </w:rPr>
              <w:t xml:space="preserve"> </w:t>
            </w:r>
          </w:p>
        </w:tc>
      </w:tr>
      <w:tr w:rsidR="00177356">
        <w:trPr>
          <w:trHeight w:val="134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19.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103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Warunki i forma zaliczenia poszczególnych komponentów przedmiotu/modułu: </w:t>
            </w:r>
          </w:p>
          <w:p w:rsidR="00177356" w:rsidRDefault="006E0AE9">
            <w:pPr>
              <w:numPr>
                <w:ilvl w:val="0"/>
                <w:numId w:val="2"/>
              </w:numPr>
              <w:spacing w:after="0"/>
            </w:pPr>
            <w:r>
              <w:rPr>
                <w:rFonts w:ascii="Verdana" w:eastAsia="Verdana" w:hAnsi="Verdana" w:cs="Verdana"/>
                <w:sz w:val="20"/>
              </w:rPr>
              <w:t xml:space="preserve">ciągła kontrola obecności i kontrola postępów w zakresie tematyki zajęć,  </w:t>
            </w:r>
          </w:p>
          <w:p w:rsidR="00177356" w:rsidRDefault="006E0AE9">
            <w:pPr>
              <w:numPr>
                <w:ilvl w:val="0"/>
                <w:numId w:val="2"/>
              </w:numPr>
              <w:spacing w:after="2" w:line="241" w:lineRule="auto"/>
            </w:pPr>
            <w:r>
              <w:rPr>
                <w:rFonts w:ascii="Verdana" w:eastAsia="Verdana" w:hAnsi="Verdana" w:cs="Verdana"/>
                <w:sz w:val="20"/>
              </w:rPr>
              <w:t xml:space="preserve">przygotowanie i zrealizowanie indywidualnego projektu odwadniania złoża na ocenę pozytywną </w:t>
            </w:r>
          </w:p>
          <w:p w:rsidR="00177356" w:rsidRDefault="006E0AE9">
            <w:pPr>
              <w:numPr>
                <w:ilvl w:val="0"/>
                <w:numId w:val="2"/>
              </w:numPr>
              <w:spacing w:after="0"/>
            </w:pPr>
            <w:r>
              <w:rPr>
                <w:rFonts w:ascii="Verdana" w:eastAsia="Verdana" w:hAnsi="Verdana" w:cs="Verdana"/>
                <w:sz w:val="20"/>
              </w:rPr>
              <w:t xml:space="preserve">egzamin pisemny - uzyskanie 51% możliwych do zdobycia punktów </w:t>
            </w:r>
          </w:p>
        </w:tc>
      </w:tr>
      <w:tr w:rsidR="00177356">
        <w:trPr>
          <w:trHeight w:val="37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>20.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Nakład pracy studenta </w:t>
            </w:r>
          </w:p>
        </w:tc>
      </w:tr>
      <w:tr w:rsidR="00177356">
        <w:trPr>
          <w:trHeight w:val="3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77356" w:rsidRDefault="00177356"/>
        </w:tc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right="4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forma działań studenta 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right="4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liczba godzin na realizację działań </w:t>
            </w:r>
          </w:p>
        </w:tc>
      </w:tr>
      <w:tr w:rsidR="00177356">
        <w:trPr>
          <w:trHeight w:val="100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77356" w:rsidRDefault="00177356"/>
        </w:tc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zajęcia (wg planu studiów) z prowadzącym: </w:t>
            </w:r>
          </w:p>
          <w:p w:rsidR="00177356" w:rsidRDefault="006E0AE9">
            <w:pPr>
              <w:numPr>
                <w:ilvl w:val="0"/>
                <w:numId w:val="3"/>
              </w:numPr>
              <w:spacing w:after="0"/>
              <w:ind w:right="1740"/>
            </w:pPr>
            <w:r>
              <w:rPr>
                <w:rFonts w:ascii="Verdana" w:eastAsia="Verdana" w:hAnsi="Verdana" w:cs="Verdana"/>
                <w:sz w:val="20"/>
              </w:rPr>
              <w:t xml:space="preserve">wykład: 22 </w:t>
            </w:r>
          </w:p>
          <w:p w:rsidR="00177356" w:rsidRDefault="006E0AE9">
            <w:pPr>
              <w:numPr>
                <w:ilvl w:val="0"/>
                <w:numId w:val="3"/>
              </w:numPr>
              <w:spacing w:after="0"/>
              <w:ind w:right="1740"/>
            </w:pPr>
            <w:r>
              <w:rPr>
                <w:rFonts w:ascii="Verdana" w:eastAsia="Verdana" w:hAnsi="Verdana" w:cs="Verdana"/>
                <w:sz w:val="20"/>
              </w:rPr>
              <w:t xml:space="preserve">ćwiczenia: 24 </w:t>
            </w:r>
            <w:r>
              <w:t xml:space="preserve">- konsultacje:  5 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101"/>
              <w:ind w:left="70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right="1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51 </w:t>
            </w:r>
          </w:p>
        </w:tc>
      </w:tr>
      <w:tr w:rsidR="00177356">
        <w:trPr>
          <w:trHeight w:val="14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77356" w:rsidRDefault="00177356"/>
        </w:tc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 w:line="240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>p</w:t>
            </w:r>
            <w:r>
              <w:rPr>
                <w:rFonts w:ascii="Verdana" w:eastAsia="Verdana" w:hAnsi="Verdana" w:cs="Verdana"/>
                <w:sz w:val="20"/>
              </w:rPr>
              <w:t xml:space="preserve">raca własna studenta (w tym udział w pracach grupowych): </w:t>
            </w:r>
          </w:p>
          <w:p w:rsidR="00177356" w:rsidRDefault="006E0AE9">
            <w:pPr>
              <w:numPr>
                <w:ilvl w:val="0"/>
                <w:numId w:val="4"/>
              </w:numPr>
              <w:spacing w:after="0"/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przygotowanie do zajęć: 10 </w:t>
            </w:r>
          </w:p>
          <w:p w:rsidR="00177356" w:rsidRDefault="006E0AE9">
            <w:pPr>
              <w:numPr>
                <w:ilvl w:val="0"/>
                <w:numId w:val="4"/>
              </w:numPr>
              <w:spacing w:after="0"/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czytanie wskazanej literatury: 10 </w:t>
            </w:r>
          </w:p>
          <w:p w:rsidR="00177356" w:rsidRDefault="006E0AE9">
            <w:pPr>
              <w:numPr>
                <w:ilvl w:val="0"/>
                <w:numId w:val="4"/>
              </w:numPr>
              <w:spacing w:after="0"/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napisanie raportu z zajęć: 16 </w:t>
            </w:r>
          </w:p>
          <w:p w:rsidR="00177356" w:rsidRDefault="006E0AE9">
            <w:pPr>
              <w:numPr>
                <w:ilvl w:val="0"/>
                <w:numId w:val="4"/>
              </w:numPr>
              <w:spacing w:after="0"/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przygotowanie do egzaminu: 13 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101"/>
              <w:ind w:left="70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:rsidR="00177356" w:rsidRDefault="006E0AE9">
            <w:pPr>
              <w:spacing w:after="0"/>
              <w:ind w:right="1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49 </w:t>
            </w:r>
          </w:p>
        </w:tc>
      </w:tr>
      <w:tr w:rsidR="00177356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77356" w:rsidRDefault="00177356"/>
        </w:tc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Łączna liczba godzin 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right="4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100 </w:t>
            </w:r>
          </w:p>
        </w:tc>
      </w:tr>
      <w:tr w:rsidR="00177356">
        <w:trPr>
          <w:trHeight w:val="3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177356"/>
        </w:tc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Liczba punktów ECTS 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356" w:rsidRDefault="006E0AE9">
            <w:pPr>
              <w:spacing w:after="0"/>
              <w:ind w:right="4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4 </w:t>
            </w:r>
          </w:p>
        </w:tc>
      </w:tr>
    </w:tbl>
    <w:p w:rsidR="00177356" w:rsidRDefault="006E0AE9">
      <w:pPr>
        <w:spacing w:after="0"/>
        <w:jc w:val="both"/>
      </w:pPr>
      <w:r>
        <w:lastRenderedPageBreak/>
        <w:t xml:space="preserve"> </w:t>
      </w:r>
    </w:p>
    <w:sectPr w:rsidR="00177356">
      <w:pgSz w:w="11906" w:h="16838"/>
      <w:pgMar w:top="1421" w:right="1455" w:bottom="1508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19C1"/>
    <w:multiLevelType w:val="hybridMultilevel"/>
    <w:tmpl w:val="719874AC"/>
    <w:lvl w:ilvl="0" w:tplc="6786FC30">
      <w:start w:val="1"/>
      <w:numFmt w:val="bullet"/>
      <w:lvlText w:val="-"/>
      <w:lvlJc w:val="left"/>
      <w:pPr>
        <w:ind w:left="2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9A6ECA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08A5CC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EAD880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EA6CDA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CCF458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ECA608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3EAAF4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4037D0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CC7C74"/>
    <w:multiLevelType w:val="hybridMultilevel"/>
    <w:tmpl w:val="9348CDE4"/>
    <w:lvl w:ilvl="0" w:tplc="254AE5A6">
      <w:start w:val="1"/>
      <w:numFmt w:val="bullet"/>
      <w:lvlText w:val="-"/>
      <w:lvlJc w:val="left"/>
      <w:pPr>
        <w:ind w:left="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667BD6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90D828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8C078E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3A6906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AA05BA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68EAE0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0416C8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BE48B6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926F1C"/>
    <w:multiLevelType w:val="hybridMultilevel"/>
    <w:tmpl w:val="933C038A"/>
    <w:lvl w:ilvl="0" w:tplc="2286B7C8">
      <w:start w:val="1"/>
      <w:numFmt w:val="bullet"/>
      <w:lvlText w:val="-"/>
      <w:lvlJc w:val="left"/>
      <w:pPr>
        <w:ind w:left="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F4CF30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E85AB8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2E8D16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8E1E16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74732C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8270B6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B2B092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9AB194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8BF33B6"/>
    <w:multiLevelType w:val="hybridMultilevel"/>
    <w:tmpl w:val="2E1C4858"/>
    <w:lvl w:ilvl="0" w:tplc="D49E375C">
      <w:start w:val="1"/>
      <w:numFmt w:val="bullet"/>
      <w:lvlText w:val="-"/>
      <w:lvlJc w:val="left"/>
      <w:pPr>
        <w:ind w:left="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DC9EC6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FA566E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BA7F56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9247B8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52510A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32267E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D2B18E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3CE852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56"/>
    <w:rsid w:val="00177356"/>
    <w:rsid w:val="006E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55E0D"/>
  <w15:docId w15:val="{6C6FEDAB-73ED-4B47-A455-119E7D8FF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1242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cp:lastModifiedBy>Nina Bób</cp:lastModifiedBy>
  <cp:revision>2</cp:revision>
  <dcterms:created xsi:type="dcterms:W3CDTF">2023-05-24T10:20:00Z</dcterms:created>
  <dcterms:modified xsi:type="dcterms:W3CDTF">2023-05-24T10:20:00Z</dcterms:modified>
</cp:coreProperties>
</file>